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40810" w14:textId="58C268A4" w:rsidR="007C2B7D" w:rsidRPr="00A46DC3" w:rsidRDefault="0008754D" w:rsidP="00D77FD0">
      <w:pPr>
        <w:jc w:val="center"/>
        <w:rPr>
          <w:rFonts w:ascii="Times New Roman" w:hAnsi="Times New Roman" w:cs="Times New Roman"/>
          <w:b/>
          <w:bCs/>
          <w:sz w:val="24"/>
          <w:szCs w:val="24"/>
        </w:rPr>
      </w:pPr>
      <w:r w:rsidRPr="00A46DC3">
        <w:rPr>
          <w:rFonts w:ascii="Times New Roman" w:hAnsi="Times New Roman" w:cs="Times New Roman"/>
          <w:b/>
          <w:bCs/>
          <w:sz w:val="24"/>
          <w:szCs w:val="24"/>
        </w:rPr>
        <w:t>ANALYSIS</w:t>
      </w:r>
      <w:r w:rsidR="00055444" w:rsidRPr="00A46DC3">
        <w:rPr>
          <w:rFonts w:ascii="Times New Roman" w:hAnsi="Times New Roman" w:cs="Times New Roman"/>
          <w:b/>
          <w:bCs/>
          <w:sz w:val="24"/>
          <w:szCs w:val="24"/>
        </w:rPr>
        <w:t xml:space="preserve"> OF </w:t>
      </w:r>
      <w:r w:rsidR="00362058" w:rsidRPr="00A46DC3">
        <w:rPr>
          <w:rFonts w:ascii="Times New Roman" w:hAnsi="Times New Roman" w:cs="Times New Roman"/>
          <w:b/>
          <w:bCs/>
          <w:sz w:val="24"/>
          <w:szCs w:val="24"/>
        </w:rPr>
        <w:t>NON-PERFORMING</w:t>
      </w:r>
      <w:r w:rsidR="00055444" w:rsidRPr="00A46DC3">
        <w:rPr>
          <w:rFonts w:ascii="Times New Roman" w:hAnsi="Times New Roman" w:cs="Times New Roman"/>
          <w:b/>
          <w:bCs/>
          <w:sz w:val="24"/>
          <w:szCs w:val="24"/>
        </w:rPr>
        <w:t xml:space="preserve"> ASSETS IN </w:t>
      </w:r>
      <w:r w:rsidRPr="00A46DC3">
        <w:rPr>
          <w:rFonts w:ascii="Times New Roman" w:hAnsi="Times New Roman" w:cs="Times New Roman"/>
          <w:b/>
          <w:bCs/>
          <w:sz w:val="24"/>
          <w:szCs w:val="24"/>
        </w:rPr>
        <w:t>FEDERAL BANK</w:t>
      </w:r>
      <w:r w:rsidR="009A702D" w:rsidRPr="00A46DC3">
        <w:rPr>
          <w:rFonts w:ascii="Times New Roman" w:hAnsi="Times New Roman" w:cs="Times New Roman"/>
          <w:b/>
          <w:bCs/>
          <w:sz w:val="24"/>
          <w:szCs w:val="24"/>
        </w:rPr>
        <w:t>, STATE BANK OF INDIA AND HDFC BANK</w:t>
      </w:r>
    </w:p>
    <w:p w14:paraId="442938AE" w14:textId="77777777" w:rsidR="0034648C" w:rsidRPr="00A46DC3" w:rsidRDefault="0034648C" w:rsidP="007C2B7D">
      <w:pPr>
        <w:jc w:val="center"/>
        <w:rPr>
          <w:rFonts w:ascii="Times New Roman" w:hAnsi="Times New Roman" w:cs="Times New Roman"/>
          <w:b/>
          <w:bCs/>
          <w:sz w:val="24"/>
          <w:szCs w:val="24"/>
        </w:rPr>
      </w:pPr>
    </w:p>
    <w:p w14:paraId="5E50BC19" w14:textId="6E26AC35" w:rsidR="00D77FD0" w:rsidRPr="00A46DC3" w:rsidRDefault="002D7234"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Project Report</w:t>
      </w:r>
    </w:p>
    <w:p w14:paraId="67D0D62B" w14:textId="77777777" w:rsidR="002D7234" w:rsidRPr="00A46DC3" w:rsidRDefault="002D7234" w:rsidP="007C2B7D">
      <w:pPr>
        <w:jc w:val="center"/>
        <w:rPr>
          <w:rFonts w:ascii="Times New Roman" w:hAnsi="Times New Roman" w:cs="Times New Roman"/>
          <w:b/>
          <w:bCs/>
          <w:sz w:val="24"/>
          <w:szCs w:val="24"/>
        </w:rPr>
      </w:pPr>
    </w:p>
    <w:p w14:paraId="2A389A08" w14:textId="68703E40" w:rsidR="002D7234" w:rsidRPr="00A46DC3" w:rsidRDefault="002D7234" w:rsidP="007C2B7D">
      <w:pPr>
        <w:jc w:val="center"/>
        <w:rPr>
          <w:rFonts w:ascii="Times New Roman" w:hAnsi="Times New Roman" w:cs="Times New Roman"/>
          <w:sz w:val="24"/>
          <w:szCs w:val="24"/>
        </w:rPr>
      </w:pPr>
      <w:r w:rsidRPr="00A46DC3">
        <w:rPr>
          <w:rFonts w:ascii="Times New Roman" w:hAnsi="Times New Roman" w:cs="Times New Roman"/>
          <w:sz w:val="24"/>
          <w:szCs w:val="24"/>
        </w:rPr>
        <w:t>Submitted by</w:t>
      </w:r>
    </w:p>
    <w:p w14:paraId="68960B7F" w14:textId="49598977" w:rsidR="002D7234" w:rsidRPr="00A46DC3" w:rsidRDefault="002D7234"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NEETHU FEBIAL M. (Reg. No. AB22COM</w:t>
      </w:r>
      <w:r w:rsidR="00B53237" w:rsidRPr="00A46DC3">
        <w:rPr>
          <w:rFonts w:ascii="Times New Roman" w:hAnsi="Times New Roman" w:cs="Times New Roman"/>
          <w:b/>
          <w:bCs/>
          <w:sz w:val="24"/>
          <w:szCs w:val="24"/>
        </w:rPr>
        <w:t>022)</w:t>
      </w:r>
    </w:p>
    <w:p w14:paraId="6B55EB92" w14:textId="592A8B38" w:rsidR="00B53237" w:rsidRPr="00A46DC3" w:rsidRDefault="00B53237"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SHANNON SIBY GEORGE (Reg. No. AB22COM053)</w:t>
      </w:r>
    </w:p>
    <w:p w14:paraId="116D4370" w14:textId="77777777" w:rsidR="00AA5FD3" w:rsidRPr="00A46DC3" w:rsidRDefault="00AA5FD3" w:rsidP="007C2B7D">
      <w:pPr>
        <w:jc w:val="center"/>
        <w:rPr>
          <w:rFonts w:ascii="Times New Roman" w:hAnsi="Times New Roman" w:cs="Times New Roman"/>
          <w:b/>
          <w:bCs/>
          <w:sz w:val="24"/>
          <w:szCs w:val="24"/>
        </w:rPr>
      </w:pPr>
    </w:p>
    <w:p w14:paraId="2C85B784" w14:textId="1EEC241A" w:rsidR="00AA5FD3" w:rsidRPr="00A46DC3" w:rsidRDefault="00AA5FD3" w:rsidP="007C2B7D">
      <w:pPr>
        <w:jc w:val="center"/>
        <w:rPr>
          <w:rFonts w:ascii="Times New Roman" w:hAnsi="Times New Roman" w:cs="Times New Roman"/>
          <w:sz w:val="24"/>
          <w:szCs w:val="24"/>
        </w:rPr>
      </w:pPr>
      <w:r w:rsidRPr="00A46DC3">
        <w:rPr>
          <w:rFonts w:ascii="Times New Roman" w:hAnsi="Times New Roman" w:cs="Times New Roman"/>
          <w:sz w:val="24"/>
          <w:szCs w:val="24"/>
        </w:rPr>
        <w:t>Under the guidance of</w:t>
      </w:r>
    </w:p>
    <w:p w14:paraId="62CED3DE" w14:textId="4835E311" w:rsidR="00AA5FD3" w:rsidRPr="00A46DC3" w:rsidRDefault="00AA5FD3"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 xml:space="preserve">Ms. </w:t>
      </w:r>
      <w:r w:rsidR="00324712" w:rsidRPr="00A46DC3">
        <w:rPr>
          <w:rFonts w:ascii="Times New Roman" w:hAnsi="Times New Roman" w:cs="Times New Roman"/>
          <w:b/>
          <w:bCs/>
          <w:sz w:val="24"/>
          <w:szCs w:val="24"/>
        </w:rPr>
        <w:t>Aglin M V</w:t>
      </w:r>
    </w:p>
    <w:p w14:paraId="49B14993" w14:textId="1EBA539F" w:rsidR="00621730" w:rsidRPr="00A46DC3" w:rsidRDefault="00621730" w:rsidP="007C2B7D">
      <w:pPr>
        <w:jc w:val="center"/>
        <w:rPr>
          <w:rFonts w:ascii="Times New Roman" w:hAnsi="Times New Roman" w:cs="Times New Roman"/>
          <w:sz w:val="24"/>
          <w:szCs w:val="24"/>
        </w:rPr>
      </w:pPr>
      <w:r w:rsidRPr="00A46DC3">
        <w:rPr>
          <w:rFonts w:ascii="Times New Roman" w:hAnsi="Times New Roman" w:cs="Times New Roman"/>
          <w:sz w:val="24"/>
          <w:szCs w:val="24"/>
        </w:rPr>
        <w:t xml:space="preserve">In partial fulfilment of requirements for award of the degree of </w:t>
      </w:r>
    </w:p>
    <w:p w14:paraId="01B4B7CA" w14:textId="1337B821" w:rsidR="00621730" w:rsidRPr="00A46DC3" w:rsidRDefault="00621730"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Bachelor of Commerce</w:t>
      </w:r>
    </w:p>
    <w:p w14:paraId="779A91F9" w14:textId="77777777" w:rsidR="0034648C" w:rsidRPr="00A46DC3" w:rsidRDefault="0034648C" w:rsidP="007C2B7D">
      <w:pPr>
        <w:jc w:val="center"/>
        <w:rPr>
          <w:rFonts w:ascii="Times New Roman" w:hAnsi="Times New Roman" w:cs="Times New Roman"/>
          <w:b/>
          <w:bCs/>
          <w:sz w:val="24"/>
          <w:szCs w:val="24"/>
        </w:rPr>
      </w:pPr>
    </w:p>
    <w:p w14:paraId="27295FFD" w14:textId="79EC00C9" w:rsidR="0034648C" w:rsidRPr="00A46DC3" w:rsidRDefault="0045765A" w:rsidP="007C2B7D">
      <w:pPr>
        <w:jc w:val="center"/>
        <w:rPr>
          <w:rFonts w:ascii="Times New Roman" w:hAnsi="Times New Roman" w:cs="Times New Roman"/>
          <w:b/>
          <w:bCs/>
          <w:sz w:val="24"/>
          <w:szCs w:val="24"/>
        </w:rPr>
      </w:pPr>
      <w:r w:rsidRPr="00A46DC3">
        <w:rPr>
          <w:rFonts w:ascii="Times New Roman" w:hAnsi="Times New Roman" w:cs="Times New Roman"/>
          <w:noProof/>
          <w:sz w:val="24"/>
          <w:szCs w:val="24"/>
          <w:lang w:eastAsia="en-IN"/>
        </w:rPr>
        <w:drawing>
          <wp:inline distT="0" distB="0" distL="0" distR="0" wp14:anchorId="6DE708D1" wp14:editId="534A260C">
            <wp:extent cx="1436914" cy="1270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963" cy="1273579"/>
                    </a:xfrm>
                    <a:prstGeom prst="rect">
                      <a:avLst/>
                    </a:prstGeom>
                    <a:noFill/>
                    <a:ln>
                      <a:noFill/>
                    </a:ln>
                  </pic:spPr>
                </pic:pic>
              </a:graphicData>
            </a:graphic>
          </wp:inline>
        </w:drawing>
      </w:r>
    </w:p>
    <w:p w14:paraId="312545AF" w14:textId="77777777" w:rsidR="0034648C" w:rsidRPr="00A46DC3" w:rsidRDefault="0034648C" w:rsidP="007C2B7D">
      <w:pPr>
        <w:jc w:val="center"/>
        <w:rPr>
          <w:rFonts w:ascii="Times New Roman" w:hAnsi="Times New Roman" w:cs="Times New Roman"/>
          <w:b/>
          <w:bCs/>
          <w:sz w:val="24"/>
          <w:szCs w:val="24"/>
        </w:rPr>
      </w:pPr>
    </w:p>
    <w:p w14:paraId="13E39B9F" w14:textId="77777777" w:rsidR="000C1073" w:rsidRPr="00A46DC3" w:rsidRDefault="000C1073" w:rsidP="000C1073">
      <w:pPr>
        <w:spacing w:line="360" w:lineRule="auto"/>
        <w:jc w:val="center"/>
        <w:rPr>
          <w:rFonts w:ascii="Times New Roman" w:hAnsi="Times New Roman" w:cs="Times New Roman"/>
          <w:b/>
          <w:bCs/>
          <w:sz w:val="24"/>
          <w:szCs w:val="24"/>
        </w:rPr>
      </w:pPr>
      <w:bookmarkStart w:id="0" w:name="_GoBack"/>
      <w:bookmarkEnd w:id="0"/>
      <w:r w:rsidRPr="00A46DC3">
        <w:rPr>
          <w:rFonts w:ascii="Times New Roman" w:hAnsi="Times New Roman" w:cs="Times New Roman"/>
          <w:b/>
          <w:bCs/>
          <w:sz w:val="24"/>
          <w:szCs w:val="24"/>
        </w:rPr>
        <w:t>ST. TERESA’S COLLEGE (AUTONOMOUS), ERNAKULAM</w:t>
      </w:r>
    </w:p>
    <w:p w14:paraId="1DD5E0BB" w14:textId="77777777" w:rsidR="000C1073" w:rsidRPr="00A46DC3" w:rsidRDefault="000C1073" w:rsidP="000C1073">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COLLEGE WITH POTENTIAL FOR EXCELLENCE</w:t>
      </w:r>
    </w:p>
    <w:p w14:paraId="311B21BA" w14:textId="77777777" w:rsidR="000C1073" w:rsidRPr="00A46DC3" w:rsidRDefault="000C1073" w:rsidP="000C1073">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Nationally Re-Accredited at ‘A++’ Level (Fourth Cycle)</w:t>
      </w:r>
    </w:p>
    <w:p w14:paraId="78E9B475" w14:textId="77777777" w:rsidR="000C1073" w:rsidRPr="00A46DC3" w:rsidRDefault="000C1073" w:rsidP="000C1073">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Affiliated to</w:t>
      </w:r>
    </w:p>
    <w:p w14:paraId="38BCEF2E" w14:textId="77777777" w:rsidR="000C1073" w:rsidRPr="00A46DC3" w:rsidRDefault="000C1073" w:rsidP="000C1073">
      <w:pPr>
        <w:spacing w:line="360" w:lineRule="auto"/>
        <w:jc w:val="center"/>
        <w:rPr>
          <w:rFonts w:ascii="Times New Roman" w:hAnsi="Times New Roman" w:cs="Times New Roman"/>
          <w:b/>
          <w:bCs/>
          <w:sz w:val="24"/>
          <w:szCs w:val="24"/>
        </w:rPr>
      </w:pPr>
      <w:r w:rsidRPr="00A46DC3">
        <w:rPr>
          <w:rFonts w:ascii="Times New Roman" w:hAnsi="Times New Roman" w:cs="Times New Roman"/>
          <w:b/>
          <w:bCs/>
          <w:sz w:val="24"/>
          <w:szCs w:val="24"/>
        </w:rPr>
        <w:t>MAHATMA GANDHI UNIVERSITY</w:t>
      </w:r>
    </w:p>
    <w:p w14:paraId="43308928" w14:textId="77777777" w:rsidR="000C1073" w:rsidRPr="00A46DC3" w:rsidRDefault="000C1073" w:rsidP="000C1073">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Kottayam-686560</w:t>
      </w:r>
    </w:p>
    <w:p w14:paraId="380AAE61" w14:textId="27F6E417" w:rsidR="000C1073" w:rsidRPr="00A46DC3" w:rsidRDefault="000C1073" w:rsidP="000C1073">
      <w:pPr>
        <w:spacing w:line="360" w:lineRule="auto"/>
        <w:jc w:val="center"/>
        <w:rPr>
          <w:rFonts w:ascii="Times New Roman" w:hAnsi="Times New Roman" w:cs="Times New Roman"/>
          <w:b/>
          <w:bCs/>
          <w:sz w:val="24"/>
          <w:szCs w:val="24"/>
        </w:rPr>
      </w:pPr>
      <w:r w:rsidRPr="00A46DC3">
        <w:rPr>
          <w:rFonts w:ascii="Times New Roman" w:hAnsi="Times New Roman" w:cs="Times New Roman"/>
          <w:b/>
          <w:bCs/>
          <w:sz w:val="24"/>
          <w:szCs w:val="24"/>
        </w:rPr>
        <w:t>March 2025</w:t>
      </w:r>
    </w:p>
    <w:p w14:paraId="55BFFCF2" w14:textId="627EBC71" w:rsidR="000C1073" w:rsidRPr="00A46DC3" w:rsidRDefault="000C1073">
      <w:pPr>
        <w:rPr>
          <w:rFonts w:ascii="Times New Roman" w:hAnsi="Times New Roman" w:cs="Times New Roman"/>
          <w:b/>
          <w:bCs/>
          <w:sz w:val="24"/>
          <w:szCs w:val="24"/>
        </w:rPr>
      </w:pPr>
      <w:r w:rsidRPr="00A46DC3">
        <w:rPr>
          <w:rFonts w:ascii="Times New Roman" w:hAnsi="Times New Roman" w:cs="Times New Roman"/>
          <w:b/>
          <w:bCs/>
          <w:sz w:val="24"/>
          <w:szCs w:val="24"/>
        </w:rPr>
        <w:br w:type="page"/>
      </w:r>
    </w:p>
    <w:p w14:paraId="130CA02C" w14:textId="77777777" w:rsidR="00E5752C" w:rsidRPr="00A46DC3" w:rsidRDefault="00E5752C" w:rsidP="00E5752C">
      <w:pPr>
        <w:spacing w:line="360" w:lineRule="auto"/>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ST. TERESA’S COLLEGE (AUTONOMOUS), ERNAKULAM</w:t>
      </w:r>
    </w:p>
    <w:p w14:paraId="6669810A" w14:textId="77777777" w:rsidR="00E5752C" w:rsidRPr="00A46DC3" w:rsidRDefault="00E5752C" w:rsidP="00E5752C">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COLLEGE WITH POTENTIAL FOR EXCELLENCE</w:t>
      </w:r>
    </w:p>
    <w:p w14:paraId="78883A4A" w14:textId="77777777" w:rsidR="00E5752C" w:rsidRPr="00A46DC3" w:rsidRDefault="00E5752C" w:rsidP="00E5752C">
      <w:pPr>
        <w:spacing w:line="360" w:lineRule="auto"/>
        <w:jc w:val="center"/>
        <w:rPr>
          <w:rFonts w:ascii="Times New Roman" w:hAnsi="Times New Roman" w:cs="Times New Roman"/>
          <w:sz w:val="24"/>
          <w:szCs w:val="24"/>
        </w:rPr>
      </w:pPr>
      <w:r w:rsidRPr="00A46DC3">
        <w:rPr>
          <w:rFonts w:ascii="Times New Roman" w:hAnsi="Times New Roman" w:cs="Times New Roman"/>
          <w:sz w:val="24"/>
          <w:szCs w:val="24"/>
        </w:rPr>
        <w:t>Nationally Re-Accredited at ‘A++’ Level (Fourth Cycle)</w:t>
      </w:r>
    </w:p>
    <w:p w14:paraId="33103543" w14:textId="77777777" w:rsidR="0034648C" w:rsidRPr="00A46DC3" w:rsidRDefault="0034648C" w:rsidP="007C2B7D">
      <w:pPr>
        <w:jc w:val="center"/>
        <w:rPr>
          <w:rFonts w:ascii="Times New Roman" w:hAnsi="Times New Roman" w:cs="Times New Roman"/>
          <w:b/>
          <w:bCs/>
          <w:sz w:val="24"/>
          <w:szCs w:val="24"/>
        </w:rPr>
      </w:pPr>
    </w:p>
    <w:p w14:paraId="6DCFF8A7" w14:textId="6EFE6C25" w:rsidR="000C1073" w:rsidRPr="00A46DC3" w:rsidRDefault="00324FC5" w:rsidP="007C2B7D">
      <w:pPr>
        <w:jc w:val="center"/>
        <w:rPr>
          <w:rFonts w:ascii="Times New Roman" w:hAnsi="Times New Roman" w:cs="Times New Roman"/>
          <w:b/>
          <w:bCs/>
          <w:sz w:val="24"/>
          <w:szCs w:val="24"/>
        </w:rPr>
      </w:pPr>
      <w:r w:rsidRPr="00A46DC3">
        <w:rPr>
          <w:rFonts w:ascii="Times New Roman" w:hAnsi="Times New Roman" w:cs="Times New Roman"/>
          <w:noProof/>
          <w:sz w:val="24"/>
          <w:szCs w:val="24"/>
          <w:lang w:eastAsia="en-IN"/>
        </w:rPr>
        <w:drawing>
          <wp:inline distT="0" distB="0" distL="0" distR="0" wp14:anchorId="3187B5E3" wp14:editId="3E59A0CE">
            <wp:extent cx="1436914" cy="1270000"/>
            <wp:effectExtent l="0" t="0" r="0" b="6350"/>
            <wp:docPr id="564944056" name="Picture 56494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963" cy="1273579"/>
                    </a:xfrm>
                    <a:prstGeom prst="rect">
                      <a:avLst/>
                    </a:prstGeom>
                    <a:noFill/>
                    <a:ln>
                      <a:noFill/>
                    </a:ln>
                  </pic:spPr>
                </pic:pic>
              </a:graphicData>
            </a:graphic>
          </wp:inline>
        </w:drawing>
      </w:r>
    </w:p>
    <w:p w14:paraId="51DC6894" w14:textId="77777777" w:rsidR="00324FC5" w:rsidRPr="00A46DC3" w:rsidRDefault="00324FC5" w:rsidP="007C2B7D">
      <w:pPr>
        <w:jc w:val="center"/>
        <w:rPr>
          <w:rFonts w:ascii="Times New Roman" w:hAnsi="Times New Roman" w:cs="Times New Roman"/>
          <w:b/>
          <w:bCs/>
          <w:sz w:val="24"/>
          <w:szCs w:val="24"/>
        </w:rPr>
      </w:pPr>
    </w:p>
    <w:p w14:paraId="66C8883E" w14:textId="0EC90BF5" w:rsidR="000C1073" w:rsidRPr="00A46DC3" w:rsidRDefault="00324FC5"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CERTIFICATE</w:t>
      </w:r>
    </w:p>
    <w:p w14:paraId="76D6953C" w14:textId="77777777" w:rsidR="000C1073" w:rsidRPr="00A46DC3" w:rsidRDefault="000C1073" w:rsidP="007C2B7D">
      <w:pPr>
        <w:jc w:val="center"/>
        <w:rPr>
          <w:rFonts w:ascii="Times New Roman" w:hAnsi="Times New Roman" w:cs="Times New Roman"/>
          <w:b/>
          <w:bCs/>
          <w:sz w:val="24"/>
          <w:szCs w:val="24"/>
        </w:rPr>
      </w:pPr>
    </w:p>
    <w:p w14:paraId="18D0107B" w14:textId="3DD633E9" w:rsidR="000C1073" w:rsidRPr="00A46DC3" w:rsidRDefault="00324FC5" w:rsidP="00324FC5">
      <w:pPr>
        <w:rPr>
          <w:rFonts w:ascii="Times New Roman" w:hAnsi="Times New Roman" w:cs="Times New Roman"/>
          <w:sz w:val="24"/>
          <w:szCs w:val="24"/>
        </w:rPr>
      </w:pPr>
      <w:r w:rsidRPr="00A46DC3">
        <w:rPr>
          <w:rFonts w:ascii="Times New Roman" w:hAnsi="Times New Roman" w:cs="Times New Roman"/>
          <w:sz w:val="24"/>
          <w:szCs w:val="24"/>
        </w:rPr>
        <w:t xml:space="preserve">This is to certify that the project report titled </w:t>
      </w:r>
      <w:r w:rsidR="001C5843" w:rsidRPr="00A46DC3">
        <w:rPr>
          <w:rFonts w:ascii="Times New Roman" w:hAnsi="Times New Roman" w:cs="Times New Roman"/>
          <w:sz w:val="24"/>
          <w:szCs w:val="24"/>
        </w:rPr>
        <w:t>‘</w:t>
      </w:r>
      <w:r w:rsidR="001C5843" w:rsidRPr="00A46DC3">
        <w:rPr>
          <w:rFonts w:ascii="Times New Roman" w:hAnsi="Times New Roman" w:cs="Times New Roman"/>
          <w:b/>
          <w:bCs/>
          <w:sz w:val="24"/>
          <w:szCs w:val="24"/>
        </w:rPr>
        <w:t xml:space="preserve">ANALYSIS OF </w:t>
      </w:r>
      <w:r w:rsidR="0038477D" w:rsidRPr="00A46DC3">
        <w:rPr>
          <w:rFonts w:ascii="Times New Roman" w:hAnsi="Times New Roman" w:cs="Times New Roman"/>
          <w:b/>
          <w:bCs/>
          <w:sz w:val="24"/>
          <w:szCs w:val="24"/>
        </w:rPr>
        <w:t>NON-PERFORMING</w:t>
      </w:r>
      <w:r w:rsidR="001C5843" w:rsidRPr="00A46DC3">
        <w:rPr>
          <w:rFonts w:ascii="Times New Roman" w:hAnsi="Times New Roman" w:cs="Times New Roman"/>
          <w:b/>
          <w:bCs/>
          <w:sz w:val="24"/>
          <w:szCs w:val="24"/>
        </w:rPr>
        <w:t xml:space="preserve"> ASSETS IN FEDERAL BANK, STATE BANK OF INDIA AND HDFC BANK’ </w:t>
      </w:r>
      <w:r w:rsidR="0038477D" w:rsidRPr="00A46DC3">
        <w:rPr>
          <w:rFonts w:ascii="Times New Roman" w:hAnsi="Times New Roman" w:cs="Times New Roman"/>
          <w:sz w:val="24"/>
          <w:szCs w:val="24"/>
        </w:rPr>
        <w:t xml:space="preserve">submitted by </w:t>
      </w:r>
      <w:r w:rsidR="0038477D" w:rsidRPr="00A46DC3">
        <w:rPr>
          <w:rFonts w:ascii="Times New Roman" w:hAnsi="Times New Roman" w:cs="Times New Roman"/>
          <w:b/>
          <w:bCs/>
          <w:sz w:val="24"/>
          <w:szCs w:val="24"/>
        </w:rPr>
        <w:t>Neethu Febial M. and Shannon Siby George</w:t>
      </w:r>
      <w:r w:rsidR="00AD50D5" w:rsidRPr="00A46DC3">
        <w:rPr>
          <w:rFonts w:ascii="Times New Roman" w:hAnsi="Times New Roman" w:cs="Times New Roman"/>
          <w:sz w:val="24"/>
          <w:szCs w:val="24"/>
        </w:rPr>
        <w:t xml:space="preserve"> towards partial fulfilment of the requirements for the award</w:t>
      </w:r>
      <w:r w:rsidR="00234DB6" w:rsidRPr="00A46DC3">
        <w:rPr>
          <w:rFonts w:ascii="Times New Roman" w:hAnsi="Times New Roman" w:cs="Times New Roman"/>
          <w:sz w:val="24"/>
          <w:szCs w:val="24"/>
        </w:rPr>
        <w:t xml:space="preserve"> of degree of </w:t>
      </w:r>
      <w:r w:rsidR="00234DB6" w:rsidRPr="00A46DC3">
        <w:rPr>
          <w:rFonts w:ascii="Times New Roman" w:hAnsi="Times New Roman" w:cs="Times New Roman"/>
          <w:b/>
          <w:bCs/>
          <w:sz w:val="24"/>
          <w:szCs w:val="24"/>
        </w:rPr>
        <w:t>Bachelor of Commerce</w:t>
      </w:r>
      <w:r w:rsidR="00234DB6" w:rsidRPr="00A46DC3">
        <w:rPr>
          <w:rFonts w:ascii="Times New Roman" w:hAnsi="Times New Roman" w:cs="Times New Roman"/>
          <w:sz w:val="24"/>
          <w:szCs w:val="24"/>
        </w:rPr>
        <w:t xml:space="preserve"> is a record of Bonafide work carried out by them </w:t>
      </w:r>
      <w:r w:rsidR="00AB0B7E" w:rsidRPr="00A46DC3">
        <w:rPr>
          <w:rFonts w:ascii="Times New Roman" w:hAnsi="Times New Roman" w:cs="Times New Roman"/>
          <w:sz w:val="24"/>
          <w:szCs w:val="24"/>
        </w:rPr>
        <w:t>during the academic year 2024-25.</w:t>
      </w:r>
    </w:p>
    <w:p w14:paraId="516F19D2" w14:textId="77777777" w:rsidR="00AB0B7E" w:rsidRPr="00A46DC3" w:rsidRDefault="00AB0B7E" w:rsidP="00324FC5">
      <w:pPr>
        <w:rPr>
          <w:rFonts w:ascii="Times New Roman" w:hAnsi="Times New Roman" w:cs="Times New Roman"/>
          <w:sz w:val="24"/>
          <w:szCs w:val="24"/>
        </w:rPr>
      </w:pPr>
    </w:p>
    <w:p w14:paraId="2BA267AE" w14:textId="772FD029" w:rsidR="00AB0B7E" w:rsidRPr="00A46DC3" w:rsidRDefault="00AB0B7E" w:rsidP="00324FC5">
      <w:pPr>
        <w:rPr>
          <w:rFonts w:ascii="Times New Roman" w:hAnsi="Times New Roman" w:cs="Times New Roman"/>
          <w:b/>
          <w:bCs/>
          <w:sz w:val="24"/>
          <w:szCs w:val="24"/>
        </w:rPr>
      </w:pPr>
      <w:r w:rsidRPr="00A46DC3">
        <w:rPr>
          <w:rFonts w:ascii="Times New Roman" w:hAnsi="Times New Roman" w:cs="Times New Roman"/>
          <w:b/>
          <w:bCs/>
          <w:sz w:val="24"/>
          <w:szCs w:val="24"/>
        </w:rPr>
        <w:t>Supervising Guide                                                       Head of th</w:t>
      </w:r>
      <w:r w:rsidR="001A57E0" w:rsidRPr="00A46DC3">
        <w:rPr>
          <w:rFonts w:ascii="Times New Roman" w:hAnsi="Times New Roman" w:cs="Times New Roman"/>
          <w:b/>
          <w:bCs/>
          <w:sz w:val="24"/>
          <w:szCs w:val="24"/>
        </w:rPr>
        <w:t>e Department</w:t>
      </w:r>
    </w:p>
    <w:p w14:paraId="1C167B02" w14:textId="77777777" w:rsidR="000C1073" w:rsidRPr="00A46DC3" w:rsidRDefault="000C1073" w:rsidP="001A57E0">
      <w:pPr>
        <w:rPr>
          <w:rFonts w:ascii="Times New Roman" w:hAnsi="Times New Roman" w:cs="Times New Roman"/>
          <w:b/>
          <w:bCs/>
          <w:sz w:val="24"/>
          <w:szCs w:val="24"/>
        </w:rPr>
      </w:pPr>
    </w:p>
    <w:p w14:paraId="578989D4" w14:textId="77777777" w:rsidR="001A57E0" w:rsidRPr="00A46DC3" w:rsidRDefault="001A57E0" w:rsidP="001A57E0">
      <w:pPr>
        <w:rPr>
          <w:rFonts w:ascii="Times New Roman" w:hAnsi="Times New Roman" w:cs="Times New Roman"/>
          <w:b/>
          <w:bCs/>
          <w:sz w:val="24"/>
          <w:szCs w:val="24"/>
        </w:rPr>
      </w:pPr>
    </w:p>
    <w:p w14:paraId="174339BF" w14:textId="77777777" w:rsidR="001A57E0" w:rsidRPr="00A46DC3" w:rsidRDefault="001A57E0" w:rsidP="001A57E0">
      <w:pPr>
        <w:rPr>
          <w:rFonts w:ascii="Times New Roman" w:hAnsi="Times New Roman" w:cs="Times New Roman"/>
          <w:b/>
          <w:bCs/>
          <w:sz w:val="24"/>
          <w:szCs w:val="24"/>
        </w:rPr>
      </w:pPr>
    </w:p>
    <w:p w14:paraId="557DCFD6" w14:textId="6CF3B3B8" w:rsidR="001A57E0" w:rsidRPr="00A46DC3" w:rsidRDefault="00C73FC7" w:rsidP="001A57E0">
      <w:pPr>
        <w:rPr>
          <w:rFonts w:ascii="Times New Roman" w:hAnsi="Times New Roman" w:cs="Times New Roman"/>
          <w:b/>
          <w:bCs/>
          <w:sz w:val="24"/>
          <w:szCs w:val="24"/>
        </w:rPr>
      </w:pPr>
      <w:r w:rsidRPr="00A46DC3">
        <w:rPr>
          <w:rFonts w:ascii="Times New Roman" w:hAnsi="Times New Roman" w:cs="Times New Roman"/>
          <w:b/>
          <w:bCs/>
          <w:sz w:val="24"/>
          <w:szCs w:val="24"/>
        </w:rPr>
        <w:t>Ms. Aglin M V</w:t>
      </w:r>
      <w:r w:rsidR="00CB4087" w:rsidRPr="00A46DC3">
        <w:rPr>
          <w:rFonts w:ascii="Times New Roman" w:hAnsi="Times New Roman" w:cs="Times New Roman"/>
          <w:b/>
          <w:bCs/>
          <w:sz w:val="24"/>
          <w:szCs w:val="24"/>
        </w:rPr>
        <w:t xml:space="preserve">                                                                                    Ms. Elizabeth Rini K. F.</w:t>
      </w:r>
    </w:p>
    <w:p w14:paraId="7EC9DDD5" w14:textId="77777777" w:rsidR="00DA5A32" w:rsidRPr="00A46DC3" w:rsidRDefault="00217532" w:rsidP="00DA5A32">
      <w:pPr>
        <w:rPr>
          <w:rFonts w:ascii="Times New Roman" w:hAnsi="Times New Roman" w:cs="Times New Roman"/>
          <w:b/>
          <w:bCs/>
          <w:sz w:val="24"/>
          <w:szCs w:val="24"/>
        </w:rPr>
      </w:pPr>
      <w:r w:rsidRPr="00A46DC3">
        <w:rPr>
          <w:rFonts w:ascii="Times New Roman" w:hAnsi="Times New Roman" w:cs="Times New Roman"/>
          <w:b/>
          <w:bCs/>
          <w:sz w:val="24"/>
          <w:szCs w:val="24"/>
        </w:rPr>
        <w:t>Assistant Professor</w:t>
      </w:r>
      <w:r w:rsidR="00DA5A32" w:rsidRPr="00A46DC3">
        <w:rPr>
          <w:rFonts w:ascii="Times New Roman" w:hAnsi="Times New Roman" w:cs="Times New Roman"/>
          <w:b/>
          <w:bCs/>
          <w:sz w:val="24"/>
          <w:szCs w:val="24"/>
        </w:rPr>
        <w:t xml:space="preserve">                                                                            Assistant Professor</w:t>
      </w:r>
    </w:p>
    <w:p w14:paraId="64616AED" w14:textId="77777777" w:rsidR="00DA5A32" w:rsidRPr="00A46DC3" w:rsidRDefault="00DA5A32" w:rsidP="00DA5A32">
      <w:pPr>
        <w:rPr>
          <w:rFonts w:ascii="Times New Roman" w:hAnsi="Times New Roman" w:cs="Times New Roman"/>
          <w:b/>
          <w:bCs/>
          <w:sz w:val="24"/>
          <w:szCs w:val="24"/>
        </w:rPr>
      </w:pPr>
      <w:r w:rsidRPr="00A46DC3">
        <w:rPr>
          <w:rFonts w:ascii="Times New Roman" w:hAnsi="Times New Roman" w:cs="Times New Roman"/>
          <w:b/>
          <w:bCs/>
          <w:sz w:val="24"/>
          <w:szCs w:val="24"/>
        </w:rPr>
        <w:t>Dept. of Commerce                                                                           Dept. of Commerce</w:t>
      </w:r>
    </w:p>
    <w:p w14:paraId="7273FA89" w14:textId="77777777" w:rsidR="00B4248C" w:rsidRPr="00A46DC3" w:rsidRDefault="00B4248C" w:rsidP="00DA5A32">
      <w:pPr>
        <w:rPr>
          <w:rFonts w:ascii="Times New Roman" w:hAnsi="Times New Roman" w:cs="Times New Roman"/>
          <w:b/>
          <w:bCs/>
          <w:sz w:val="24"/>
          <w:szCs w:val="24"/>
        </w:rPr>
      </w:pPr>
    </w:p>
    <w:p w14:paraId="57DF784F" w14:textId="77777777" w:rsidR="00B4248C" w:rsidRPr="00A46DC3" w:rsidRDefault="00B4248C" w:rsidP="00DA5A32">
      <w:pPr>
        <w:rPr>
          <w:rFonts w:ascii="Times New Roman" w:hAnsi="Times New Roman" w:cs="Times New Roman"/>
          <w:b/>
          <w:bCs/>
          <w:sz w:val="24"/>
          <w:szCs w:val="24"/>
        </w:rPr>
      </w:pPr>
      <w:r w:rsidRPr="00A46DC3">
        <w:rPr>
          <w:rFonts w:ascii="Times New Roman" w:hAnsi="Times New Roman" w:cs="Times New Roman"/>
          <w:b/>
          <w:bCs/>
          <w:sz w:val="24"/>
          <w:szCs w:val="24"/>
        </w:rPr>
        <w:t>Place: Ernakulam</w:t>
      </w:r>
    </w:p>
    <w:p w14:paraId="4A62829F" w14:textId="43FA6137" w:rsidR="000C1073" w:rsidRPr="00A46DC3" w:rsidRDefault="00B4248C" w:rsidP="00DA5A32">
      <w:pPr>
        <w:rPr>
          <w:rFonts w:ascii="Times New Roman" w:hAnsi="Times New Roman" w:cs="Times New Roman"/>
          <w:b/>
          <w:bCs/>
          <w:sz w:val="24"/>
          <w:szCs w:val="24"/>
        </w:rPr>
      </w:pPr>
      <w:r w:rsidRPr="00A46DC3">
        <w:rPr>
          <w:rFonts w:ascii="Times New Roman" w:hAnsi="Times New Roman" w:cs="Times New Roman"/>
          <w:b/>
          <w:bCs/>
          <w:sz w:val="24"/>
          <w:szCs w:val="24"/>
        </w:rPr>
        <w:t>Date: 14/03/2025</w:t>
      </w:r>
      <w:r w:rsidR="00DA5A32" w:rsidRPr="00A46DC3">
        <w:rPr>
          <w:rFonts w:ascii="Times New Roman" w:hAnsi="Times New Roman" w:cs="Times New Roman"/>
          <w:b/>
          <w:bCs/>
          <w:sz w:val="24"/>
          <w:szCs w:val="24"/>
        </w:rPr>
        <w:t xml:space="preserve"> </w:t>
      </w:r>
    </w:p>
    <w:p w14:paraId="08D9FC1F" w14:textId="77777777" w:rsidR="000C1073" w:rsidRPr="00A46DC3" w:rsidRDefault="000C1073" w:rsidP="007C2B7D">
      <w:pPr>
        <w:jc w:val="center"/>
        <w:rPr>
          <w:rFonts w:ascii="Times New Roman" w:hAnsi="Times New Roman" w:cs="Times New Roman"/>
          <w:b/>
          <w:bCs/>
          <w:sz w:val="24"/>
          <w:szCs w:val="24"/>
        </w:rPr>
      </w:pPr>
    </w:p>
    <w:p w14:paraId="2C6FB5F5" w14:textId="77777777" w:rsidR="00EA1655" w:rsidRPr="00A46DC3" w:rsidRDefault="00EA1655" w:rsidP="007C2B7D">
      <w:pPr>
        <w:jc w:val="center"/>
        <w:rPr>
          <w:rFonts w:ascii="Times New Roman" w:hAnsi="Times New Roman" w:cs="Times New Roman"/>
          <w:b/>
          <w:bCs/>
          <w:sz w:val="24"/>
          <w:szCs w:val="24"/>
        </w:rPr>
      </w:pPr>
    </w:p>
    <w:p w14:paraId="3B5E05C0" w14:textId="77777777" w:rsidR="00EA1655" w:rsidRPr="00A46DC3" w:rsidRDefault="00EA1655" w:rsidP="007C2B7D">
      <w:pPr>
        <w:jc w:val="center"/>
        <w:rPr>
          <w:rFonts w:ascii="Times New Roman" w:hAnsi="Times New Roman" w:cs="Times New Roman"/>
          <w:b/>
          <w:bCs/>
          <w:sz w:val="24"/>
          <w:szCs w:val="24"/>
        </w:rPr>
      </w:pPr>
    </w:p>
    <w:p w14:paraId="6AD2ABA8" w14:textId="54A43A51" w:rsidR="000C1073" w:rsidRPr="00A46DC3" w:rsidRDefault="002835C8"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DECLARATION</w:t>
      </w:r>
    </w:p>
    <w:p w14:paraId="1A3F8333" w14:textId="77777777" w:rsidR="002835C8" w:rsidRPr="00A46DC3" w:rsidRDefault="002835C8" w:rsidP="007C2B7D">
      <w:pPr>
        <w:jc w:val="center"/>
        <w:rPr>
          <w:rFonts w:ascii="Times New Roman" w:hAnsi="Times New Roman" w:cs="Times New Roman"/>
          <w:b/>
          <w:bCs/>
          <w:sz w:val="24"/>
          <w:szCs w:val="24"/>
        </w:rPr>
      </w:pPr>
    </w:p>
    <w:p w14:paraId="33076BAF" w14:textId="7CC6F82E" w:rsidR="002835C8" w:rsidRPr="00A46DC3" w:rsidRDefault="00EB5E0C" w:rsidP="00EB5E0C">
      <w:pPr>
        <w:rPr>
          <w:rFonts w:ascii="Times New Roman" w:hAnsi="Times New Roman" w:cs="Times New Roman"/>
          <w:sz w:val="24"/>
          <w:szCs w:val="24"/>
        </w:rPr>
      </w:pPr>
      <w:r w:rsidRPr="00A46DC3">
        <w:rPr>
          <w:rFonts w:ascii="Times New Roman" w:hAnsi="Times New Roman" w:cs="Times New Roman"/>
          <w:sz w:val="24"/>
          <w:szCs w:val="24"/>
        </w:rPr>
        <w:t>We, Neethu Febial M. and Shannon Siby Ge</w:t>
      </w:r>
      <w:r w:rsidR="00BC73E6" w:rsidRPr="00A46DC3">
        <w:rPr>
          <w:rFonts w:ascii="Times New Roman" w:hAnsi="Times New Roman" w:cs="Times New Roman"/>
          <w:sz w:val="24"/>
          <w:szCs w:val="24"/>
        </w:rPr>
        <w:t>or</w:t>
      </w:r>
      <w:r w:rsidRPr="00A46DC3">
        <w:rPr>
          <w:rFonts w:ascii="Times New Roman" w:hAnsi="Times New Roman" w:cs="Times New Roman"/>
          <w:sz w:val="24"/>
          <w:szCs w:val="24"/>
        </w:rPr>
        <w:t>ge, do hereby dec</w:t>
      </w:r>
      <w:r w:rsidR="00BC73E6" w:rsidRPr="00A46DC3">
        <w:rPr>
          <w:rFonts w:ascii="Times New Roman" w:hAnsi="Times New Roman" w:cs="Times New Roman"/>
          <w:sz w:val="24"/>
          <w:szCs w:val="24"/>
        </w:rPr>
        <w:t>lare that</w:t>
      </w:r>
      <w:r w:rsidR="00A33346" w:rsidRPr="00A46DC3">
        <w:rPr>
          <w:rFonts w:ascii="Times New Roman" w:hAnsi="Times New Roman" w:cs="Times New Roman"/>
          <w:sz w:val="24"/>
          <w:szCs w:val="24"/>
        </w:rPr>
        <w:t xml:space="preserve"> this dissertation entitled. </w:t>
      </w:r>
      <w:r w:rsidR="00A33346" w:rsidRPr="00A46DC3">
        <w:rPr>
          <w:rFonts w:ascii="Times New Roman" w:hAnsi="Times New Roman" w:cs="Times New Roman"/>
          <w:b/>
          <w:bCs/>
          <w:sz w:val="24"/>
          <w:szCs w:val="24"/>
        </w:rPr>
        <w:t xml:space="preserve">‘ANALYSIS OF NON-PERFROMING ASSETS IN FEDERAL BANK, STATE BANK OF INDIA AND HDFC BANK’ </w:t>
      </w:r>
      <w:r w:rsidR="00A33346" w:rsidRPr="00A46DC3">
        <w:rPr>
          <w:rFonts w:ascii="Times New Roman" w:hAnsi="Times New Roman" w:cs="Times New Roman"/>
          <w:sz w:val="24"/>
          <w:szCs w:val="24"/>
        </w:rPr>
        <w:t xml:space="preserve">has been prepared by us under the guidance of </w:t>
      </w:r>
      <w:r w:rsidR="00A33346" w:rsidRPr="00A46DC3">
        <w:rPr>
          <w:rFonts w:ascii="Times New Roman" w:hAnsi="Times New Roman" w:cs="Times New Roman"/>
          <w:b/>
          <w:bCs/>
          <w:sz w:val="24"/>
          <w:szCs w:val="24"/>
        </w:rPr>
        <w:t>Ms. Aglin M V</w:t>
      </w:r>
      <w:r w:rsidR="00A611B0" w:rsidRPr="00A46DC3">
        <w:rPr>
          <w:rFonts w:ascii="Times New Roman" w:hAnsi="Times New Roman" w:cs="Times New Roman"/>
          <w:sz w:val="24"/>
          <w:szCs w:val="24"/>
        </w:rPr>
        <w:t>, Assistant Professor, Department of Commerce, St. Teresa’s College</w:t>
      </w:r>
      <w:r w:rsidR="00360ED9" w:rsidRPr="00A46DC3">
        <w:rPr>
          <w:rFonts w:ascii="Times New Roman" w:hAnsi="Times New Roman" w:cs="Times New Roman"/>
          <w:sz w:val="24"/>
          <w:szCs w:val="24"/>
        </w:rPr>
        <w:t>, Ernakulam.</w:t>
      </w:r>
    </w:p>
    <w:p w14:paraId="4BB7A190" w14:textId="77777777" w:rsidR="00360ED9" w:rsidRPr="00A46DC3" w:rsidRDefault="00360ED9" w:rsidP="00EB5E0C">
      <w:pPr>
        <w:rPr>
          <w:rFonts w:ascii="Times New Roman" w:hAnsi="Times New Roman" w:cs="Times New Roman"/>
          <w:sz w:val="24"/>
          <w:szCs w:val="24"/>
        </w:rPr>
      </w:pPr>
    </w:p>
    <w:p w14:paraId="382F3A9D" w14:textId="77777777" w:rsidR="00360ED9" w:rsidRPr="00A46DC3" w:rsidRDefault="00360ED9" w:rsidP="00EB5E0C">
      <w:pPr>
        <w:rPr>
          <w:rFonts w:ascii="Times New Roman" w:hAnsi="Times New Roman" w:cs="Times New Roman"/>
          <w:sz w:val="24"/>
          <w:szCs w:val="24"/>
        </w:rPr>
      </w:pPr>
    </w:p>
    <w:p w14:paraId="1F88C1AB" w14:textId="7880C871" w:rsidR="00360ED9" w:rsidRPr="00A46DC3" w:rsidRDefault="00360ED9" w:rsidP="00EB5E0C">
      <w:pPr>
        <w:rPr>
          <w:rFonts w:ascii="Times New Roman" w:hAnsi="Times New Roman" w:cs="Times New Roman"/>
          <w:sz w:val="24"/>
          <w:szCs w:val="24"/>
        </w:rPr>
      </w:pPr>
      <w:r w:rsidRPr="00A46DC3">
        <w:rPr>
          <w:rFonts w:ascii="Times New Roman" w:hAnsi="Times New Roman" w:cs="Times New Roman"/>
          <w:sz w:val="24"/>
          <w:szCs w:val="24"/>
        </w:rPr>
        <w:t xml:space="preserve">We also declare that this dissertation has not been submitted by us fully or </w:t>
      </w:r>
      <w:r w:rsidR="00414F7B" w:rsidRPr="00A46DC3">
        <w:rPr>
          <w:rFonts w:ascii="Times New Roman" w:hAnsi="Times New Roman" w:cs="Times New Roman"/>
          <w:sz w:val="24"/>
          <w:szCs w:val="24"/>
        </w:rPr>
        <w:t>partly for the award of any Degree, Diploma, Title or Recognition before</w:t>
      </w:r>
      <w:r w:rsidR="005E39FE" w:rsidRPr="00A46DC3">
        <w:rPr>
          <w:rFonts w:ascii="Times New Roman" w:hAnsi="Times New Roman" w:cs="Times New Roman"/>
          <w:sz w:val="24"/>
          <w:szCs w:val="24"/>
        </w:rPr>
        <w:t>.</w:t>
      </w:r>
    </w:p>
    <w:p w14:paraId="4EA890C5" w14:textId="77777777" w:rsidR="005E39FE" w:rsidRPr="00A46DC3" w:rsidRDefault="005E39FE" w:rsidP="00EB5E0C">
      <w:pPr>
        <w:rPr>
          <w:rFonts w:ascii="Times New Roman" w:hAnsi="Times New Roman" w:cs="Times New Roman"/>
          <w:sz w:val="24"/>
          <w:szCs w:val="24"/>
        </w:rPr>
      </w:pPr>
    </w:p>
    <w:p w14:paraId="6BD05195" w14:textId="77777777" w:rsidR="005E39FE" w:rsidRPr="00A46DC3" w:rsidRDefault="005E39FE" w:rsidP="00EB5E0C">
      <w:pPr>
        <w:rPr>
          <w:rFonts w:ascii="Times New Roman" w:hAnsi="Times New Roman" w:cs="Times New Roman"/>
          <w:sz w:val="24"/>
          <w:szCs w:val="24"/>
        </w:rPr>
      </w:pPr>
    </w:p>
    <w:p w14:paraId="1702E8C9" w14:textId="77777777" w:rsidR="005E39FE" w:rsidRPr="00A46DC3" w:rsidRDefault="005E39FE" w:rsidP="00EB5E0C">
      <w:pPr>
        <w:rPr>
          <w:rFonts w:ascii="Times New Roman" w:hAnsi="Times New Roman" w:cs="Times New Roman"/>
          <w:sz w:val="24"/>
          <w:szCs w:val="24"/>
        </w:rPr>
      </w:pPr>
    </w:p>
    <w:p w14:paraId="224DB89D" w14:textId="538A3CDA" w:rsidR="005E39FE" w:rsidRPr="00A46DC3" w:rsidRDefault="005E39FE" w:rsidP="00EB5E0C">
      <w:pPr>
        <w:rPr>
          <w:rFonts w:ascii="Times New Roman" w:hAnsi="Times New Roman" w:cs="Times New Roman"/>
          <w:b/>
          <w:bCs/>
          <w:sz w:val="24"/>
          <w:szCs w:val="24"/>
        </w:rPr>
      </w:pPr>
      <w:r w:rsidRPr="00A46DC3">
        <w:rPr>
          <w:rFonts w:ascii="Times New Roman" w:hAnsi="Times New Roman" w:cs="Times New Roman"/>
          <w:b/>
          <w:bCs/>
          <w:sz w:val="24"/>
          <w:szCs w:val="24"/>
        </w:rPr>
        <w:t>Place: Ernakulam                                                                                 Neethu Febial M.</w:t>
      </w:r>
    </w:p>
    <w:p w14:paraId="208B1696" w14:textId="5C6B40E7" w:rsidR="005E39FE" w:rsidRPr="00A46DC3" w:rsidRDefault="005E39FE" w:rsidP="00EB5E0C">
      <w:pPr>
        <w:rPr>
          <w:rFonts w:ascii="Times New Roman" w:hAnsi="Times New Roman" w:cs="Times New Roman"/>
          <w:b/>
          <w:bCs/>
          <w:sz w:val="24"/>
          <w:szCs w:val="24"/>
        </w:rPr>
      </w:pPr>
      <w:r w:rsidRPr="00A46DC3">
        <w:rPr>
          <w:rFonts w:ascii="Times New Roman" w:hAnsi="Times New Roman" w:cs="Times New Roman"/>
          <w:b/>
          <w:bCs/>
          <w:sz w:val="24"/>
          <w:szCs w:val="24"/>
        </w:rPr>
        <w:t>Date: 14/03/2025                                                                                   Shannon Siby George</w:t>
      </w:r>
    </w:p>
    <w:p w14:paraId="1C300F3D" w14:textId="77777777" w:rsidR="000C1073" w:rsidRPr="00A46DC3" w:rsidRDefault="000C1073" w:rsidP="007C2B7D">
      <w:pPr>
        <w:jc w:val="center"/>
        <w:rPr>
          <w:rFonts w:ascii="Times New Roman" w:hAnsi="Times New Roman" w:cs="Times New Roman"/>
          <w:b/>
          <w:bCs/>
          <w:sz w:val="24"/>
          <w:szCs w:val="24"/>
        </w:rPr>
      </w:pPr>
    </w:p>
    <w:p w14:paraId="02818AB4" w14:textId="77777777" w:rsidR="000C1073" w:rsidRPr="00A46DC3" w:rsidRDefault="000C1073" w:rsidP="007C2B7D">
      <w:pPr>
        <w:jc w:val="center"/>
        <w:rPr>
          <w:rFonts w:ascii="Times New Roman" w:hAnsi="Times New Roman" w:cs="Times New Roman"/>
          <w:b/>
          <w:bCs/>
          <w:sz w:val="24"/>
          <w:szCs w:val="24"/>
        </w:rPr>
      </w:pPr>
    </w:p>
    <w:p w14:paraId="6C9A2D9D" w14:textId="77777777" w:rsidR="000C1073" w:rsidRPr="00A46DC3" w:rsidRDefault="000C1073" w:rsidP="007C2B7D">
      <w:pPr>
        <w:jc w:val="center"/>
        <w:rPr>
          <w:rFonts w:ascii="Times New Roman" w:hAnsi="Times New Roman" w:cs="Times New Roman"/>
          <w:b/>
          <w:bCs/>
          <w:sz w:val="24"/>
          <w:szCs w:val="24"/>
        </w:rPr>
      </w:pPr>
    </w:p>
    <w:p w14:paraId="0CBA0C5C" w14:textId="77777777" w:rsidR="000C1073" w:rsidRPr="00A46DC3" w:rsidRDefault="000C1073" w:rsidP="007C2B7D">
      <w:pPr>
        <w:jc w:val="center"/>
        <w:rPr>
          <w:rFonts w:ascii="Times New Roman" w:hAnsi="Times New Roman" w:cs="Times New Roman"/>
          <w:b/>
          <w:bCs/>
          <w:sz w:val="24"/>
          <w:szCs w:val="24"/>
        </w:rPr>
      </w:pPr>
    </w:p>
    <w:p w14:paraId="2EC9C55E" w14:textId="77777777" w:rsidR="000C1073" w:rsidRPr="00A46DC3" w:rsidRDefault="000C1073" w:rsidP="007C2B7D">
      <w:pPr>
        <w:jc w:val="center"/>
        <w:rPr>
          <w:rFonts w:ascii="Times New Roman" w:hAnsi="Times New Roman" w:cs="Times New Roman"/>
          <w:b/>
          <w:bCs/>
          <w:sz w:val="24"/>
          <w:szCs w:val="24"/>
        </w:rPr>
      </w:pPr>
    </w:p>
    <w:p w14:paraId="1E05219B" w14:textId="77777777" w:rsidR="000C1073" w:rsidRPr="00A46DC3" w:rsidRDefault="000C1073" w:rsidP="007C2B7D">
      <w:pPr>
        <w:jc w:val="center"/>
        <w:rPr>
          <w:rFonts w:ascii="Times New Roman" w:hAnsi="Times New Roman" w:cs="Times New Roman"/>
          <w:b/>
          <w:bCs/>
          <w:sz w:val="24"/>
          <w:szCs w:val="24"/>
        </w:rPr>
      </w:pPr>
    </w:p>
    <w:p w14:paraId="4A114CEE" w14:textId="77777777" w:rsidR="000C1073" w:rsidRPr="00A46DC3" w:rsidRDefault="000C1073" w:rsidP="007C2B7D">
      <w:pPr>
        <w:jc w:val="center"/>
        <w:rPr>
          <w:rFonts w:ascii="Times New Roman" w:hAnsi="Times New Roman" w:cs="Times New Roman"/>
          <w:b/>
          <w:bCs/>
          <w:sz w:val="24"/>
          <w:szCs w:val="24"/>
        </w:rPr>
      </w:pPr>
    </w:p>
    <w:p w14:paraId="4DD354BC" w14:textId="77777777" w:rsidR="000C1073" w:rsidRPr="00A46DC3" w:rsidRDefault="000C1073" w:rsidP="007C2B7D">
      <w:pPr>
        <w:jc w:val="center"/>
        <w:rPr>
          <w:rFonts w:ascii="Times New Roman" w:hAnsi="Times New Roman" w:cs="Times New Roman"/>
          <w:b/>
          <w:bCs/>
          <w:sz w:val="24"/>
          <w:szCs w:val="24"/>
        </w:rPr>
      </w:pPr>
    </w:p>
    <w:p w14:paraId="5AD13DC4" w14:textId="77777777" w:rsidR="000C1073" w:rsidRPr="00A46DC3" w:rsidRDefault="000C1073" w:rsidP="007C2B7D">
      <w:pPr>
        <w:jc w:val="center"/>
        <w:rPr>
          <w:rFonts w:ascii="Times New Roman" w:hAnsi="Times New Roman" w:cs="Times New Roman"/>
          <w:b/>
          <w:bCs/>
          <w:sz w:val="24"/>
          <w:szCs w:val="24"/>
        </w:rPr>
      </w:pPr>
    </w:p>
    <w:p w14:paraId="0BB6B472" w14:textId="77777777" w:rsidR="000C1073" w:rsidRPr="00A46DC3" w:rsidRDefault="000C1073" w:rsidP="007C2B7D">
      <w:pPr>
        <w:jc w:val="center"/>
        <w:rPr>
          <w:rFonts w:ascii="Times New Roman" w:hAnsi="Times New Roman" w:cs="Times New Roman"/>
          <w:b/>
          <w:bCs/>
          <w:sz w:val="24"/>
          <w:szCs w:val="24"/>
        </w:rPr>
      </w:pPr>
    </w:p>
    <w:p w14:paraId="405E8BA4" w14:textId="77777777" w:rsidR="000C1073" w:rsidRPr="00A46DC3" w:rsidRDefault="000C1073" w:rsidP="007C2B7D">
      <w:pPr>
        <w:jc w:val="center"/>
        <w:rPr>
          <w:rFonts w:ascii="Times New Roman" w:hAnsi="Times New Roman" w:cs="Times New Roman"/>
          <w:b/>
          <w:bCs/>
          <w:sz w:val="24"/>
          <w:szCs w:val="24"/>
        </w:rPr>
      </w:pPr>
    </w:p>
    <w:p w14:paraId="111C9DCA" w14:textId="77777777" w:rsidR="000C1073" w:rsidRPr="00A46DC3" w:rsidRDefault="000C1073" w:rsidP="007C2B7D">
      <w:pPr>
        <w:jc w:val="center"/>
        <w:rPr>
          <w:rFonts w:ascii="Times New Roman" w:hAnsi="Times New Roman" w:cs="Times New Roman"/>
          <w:b/>
          <w:bCs/>
          <w:sz w:val="24"/>
          <w:szCs w:val="24"/>
        </w:rPr>
      </w:pPr>
    </w:p>
    <w:p w14:paraId="0CFFE657" w14:textId="77777777" w:rsidR="000C1073" w:rsidRPr="00A46DC3" w:rsidRDefault="000C1073" w:rsidP="007C2B7D">
      <w:pPr>
        <w:jc w:val="center"/>
        <w:rPr>
          <w:rFonts w:ascii="Times New Roman" w:hAnsi="Times New Roman" w:cs="Times New Roman"/>
          <w:b/>
          <w:bCs/>
          <w:sz w:val="24"/>
          <w:szCs w:val="24"/>
        </w:rPr>
      </w:pPr>
    </w:p>
    <w:p w14:paraId="7FE3C54D" w14:textId="77777777" w:rsidR="000C1073" w:rsidRPr="00A46DC3" w:rsidRDefault="000C1073" w:rsidP="007C2B7D">
      <w:pPr>
        <w:jc w:val="center"/>
        <w:rPr>
          <w:rFonts w:ascii="Times New Roman" w:hAnsi="Times New Roman" w:cs="Times New Roman"/>
          <w:b/>
          <w:bCs/>
          <w:sz w:val="24"/>
          <w:szCs w:val="24"/>
        </w:rPr>
      </w:pPr>
    </w:p>
    <w:p w14:paraId="2195C391" w14:textId="77777777" w:rsidR="000C1073" w:rsidRPr="00A46DC3" w:rsidRDefault="000C1073" w:rsidP="007C2B7D">
      <w:pPr>
        <w:jc w:val="center"/>
        <w:rPr>
          <w:rFonts w:ascii="Times New Roman" w:hAnsi="Times New Roman" w:cs="Times New Roman"/>
          <w:b/>
          <w:bCs/>
          <w:sz w:val="24"/>
          <w:szCs w:val="24"/>
        </w:rPr>
      </w:pPr>
    </w:p>
    <w:p w14:paraId="021EFC32" w14:textId="77777777" w:rsidR="000C1073" w:rsidRPr="00A46DC3" w:rsidRDefault="000C1073" w:rsidP="007C2B7D">
      <w:pPr>
        <w:jc w:val="center"/>
        <w:rPr>
          <w:rFonts w:ascii="Times New Roman" w:hAnsi="Times New Roman" w:cs="Times New Roman"/>
          <w:b/>
          <w:bCs/>
          <w:sz w:val="24"/>
          <w:szCs w:val="24"/>
        </w:rPr>
      </w:pPr>
    </w:p>
    <w:p w14:paraId="66C13526" w14:textId="77777777" w:rsidR="00EA1655" w:rsidRPr="00A46DC3" w:rsidRDefault="00EA1655" w:rsidP="007C2B7D">
      <w:pPr>
        <w:jc w:val="center"/>
        <w:rPr>
          <w:rFonts w:ascii="Times New Roman" w:hAnsi="Times New Roman" w:cs="Times New Roman"/>
          <w:b/>
          <w:bCs/>
          <w:sz w:val="24"/>
          <w:szCs w:val="24"/>
        </w:rPr>
      </w:pPr>
    </w:p>
    <w:p w14:paraId="7C6C4D6B" w14:textId="210F65CD" w:rsidR="000C1073" w:rsidRPr="00A46DC3" w:rsidRDefault="00A05F37"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ACKNOWLEDGEMENT</w:t>
      </w:r>
    </w:p>
    <w:p w14:paraId="4A64C43B" w14:textId="77E398DF" w:rsidR="00D43111" w:rsidRPr="00A46DC3" w:rsidRDefault="00065C0B" w:rsidP="00065C0B">
      <w:pPr>
        <w:rPr>
          <w:rFonts w:ascii="Times New Roman" w:hAnsi="Times New Roman" w:cs="Times New Roman"/>
          <w:sz w:val="24"/>
          <w:szCs w:val="24"/>
        </w:rPr>
      </w:pPr>
      <w:r w:rsidRPr="00A46DC3">
        <w:rPr>
          <w:rFonts w:ascii="Times New Roman" w:hAnsi="Times New Roman" w:cs="Times New Roman"/>
          <w:sz w:val="24"/>
          <w:szCs w:val="24"/>
        </w:rPr>
        <w:t xml:space="preserve">We wish to acknowledge all those persons who helped us in completing our project on the topic, </w:t>
      </w:r>
      <w:r w:rsidRPr="00A46DC3">
        <w:rPr>
          <w:rFonts w:ascii="Times New Roman" w:hAnsi="Times New Roman" w:cs="Times New Roman"/>
          <w:b/>
          <w:bCs/>
          <w:sz w:val="24"/>
          <w:szCs w:val="24"/>
        </w:rPr>
        <w:t xml:space="preserve">‘A STUDY ON </w:t>
      </w:r>
      <w:r w:rsidR="00D43111" w:rsidRPr="00A46DC3">
        <w:rPr>
          <w:rFonts w:ascii="Times New Roman" w:hAnsi="Times New Roman" w:cs="Times New Roman"/>
          <w:b/>
          <w:bCs/>
          <w:sz w:val="24"/>
          <w:szCs w:val="24"/>
        </w:rPr>
        <w:t>NON-PERFORMING A</w:t>
      </w:r>
      <w:r w:rsidRPr="00A46DC3">
        <w:rPr>
          <w:rFonts w:ascii="Times New Roman" w:hAnsi="Times New Roman" w:cs="Times New Roman"/>
          <w:b/>
          <w:bCs/>
          <w:sz w:val="24"/>
          <w:szCs w:val="24"/>
        </w:rPr>
        <w:t>S</w:t>
      </w:r>
      <w:r w:rsidR="00D43111" w:rsidRPr="00A46DC3">
        <w:rPr>
          <w:rFonts w:ascii="Times New Roman" w:hAnsi="Times New Roman" w:cs="Times New Roman"/>
          <w:b/>
          <w:bCs/>
          <w:sz w:val="24"/>
          <w:szCs w:val="24"/>
        </w:rPr>
        <w:t>SETS IN FEDERAL BANK, STATE BANK OF INDIA AND HDFC BANK</w:t>
      </w:r>
      <w:r w:rsidRPr="00A46DC3">
        <w:rPr>
          <w:rFonts w:ascii="Times New Roman" w:hAnsi="Times New Roman" w:cs="Times New Roman"/>
          <w:b/>
          <w:bCs/>
          <w:sz w:val="24"/>
          <w:szCs w:val="24"/>
        </w:rPr>
        <w:t>’</w:t>
      </w:r>
      <w:r w:rsidR="00D43111" w:rsidRPr="00A46DC3">
        <w:rPr>
          <w:rFonts w:ascii="Times New Roman" w:hAnsi="Times New Roman" w:cs="Times New Roman"/>
          <w:sz w:val="24"/>
          <w:szCs w:val="24"/>
        </w:rPr>
        <w:t>.</w:t>
      </w:r>
    </w:p>
    <w:p w14:paraId="798795C6" w14:textId="44F280B5" w:rsidR="009601BC" w:rsidRPr="00A46DC3" w:rsidRDefault="00065C0B" w:rsidP="00065C0B">
      <w:pPr>
        <w:rPr>
          <w:rFonts w:ascii="Times New Roman" w:hAnsi="Times New Roman" w:cs="Times New Roman"/>
          <w:sz w:val="24"/>
          <w:szCs w:val="24"/>
        </w:rPr>
      </w:pPr>
      <w:r w:rsidRPr="00A46DC3">
        <w:rPr>
          <w:rFonts w:ascii="Times New Roman" w:hAnsi="Times New Roman" w:cs="Times New Roman"/>
          <w:sz w:val="24"/>
          <w:szCs w:val="24"/>
        </w:rPr>
        <w:t xml:space="preserve">First of all, we thank God Almighty for his blessings showered upon us in the conduct of the project study. We are also indebted to </w:t>
      </w:r>
      <w:r w:rsidR="009601BC" w:rsidRPr="00A46DC3">
        <w:rPr>
          <w:rFonts w:ascii="Times New Roman" w:hAnsi="Times New Roman" w:cs="Times New Roman"/>
          <w:sz w:val="24"/>
          <w:szCs w:val="24"/>
        </w:rPr>
        <w:t>Ms. Aglin M V</w:t>
      </w:r>
      <w:r w:rsidRPr="00A46DC3">
        <w:rPr>
          <w:rFonts w:ascii="Times New Roman" w:hAnsi="Times New Roman" w:cs="Times New Roman"/>
          <w:sz w:val="24"/>
          <w:szCs w:val="24"/>
        </w:rPr>
        <w:t xml:space="preserve">, Assistant Professor, Dept. of Commerce, St. Teresa’s College, Ernakulam for her guidance and encouragement for proper completion of the study. </w:t>
      </w:r>
    </w:p>
    <w:p w14:paraId="121572F0" w14:textId="3F038649" w:rsidR="009601BC" w:rsidRPr="00A46DC3" w:rsidRDefault="00065C0B" w:rsidP="00065C0B">
      <w:pPr>
        <w:rPr>
          <w:rFonts w:ascii="Times New Roman" w:hAnsi="Times New Roman" w:cs="Times New Roman"/>
          <w:sz w:val="24"/>
          <w:szCs w:val="24"/>
        </w:rPr>
      </w:pPr>
      <w:r w:rsidRPr="00A46DC3">
        <w:rPr>
          <w:rFonts w:ascii="Times New Roman" w:hAnsi="Times New Roman" w:cs="Times New Roman"/>
          <w:sz w:val="24"/>
          <w:szCs w:val="24"/>
        </w:rPr>
        <w:t>We express our sincere thanks to the</w:t>
      </w:r>
      <w:r w:rsidR="00EA1655" w:rsidRPr="00A46DC3">
        <w:rPr>
          <w:rFonts w:ascii="Times New Roman" w:hAnsi="Times New Roman" w:cs="Times New Roman"/>
          <w:sz w:val="24"/>
          <w:szCs w:val="24"/>
        </w:rPr>
        <w:t xml:space="preserve"> Directors Rev. Sr. Tessa CSST, Rev. Sr. Francis Ann CSST</w:t>
      </w:r>
      <w:r w:rsidRPr="00A46DC3">
        <w:rPr>
          <w:rFonts w:ascii="Times New Roman" w:hAnsi="Times New Roman" w:cs="Times New Roman"/>
          <w:sz w:val="24"/>
          <w:szCs w:val="24"/>
        </w:rPr>
        <w:t>,</w:t>
      </w:r>
      <w:r w:rsidR="00EA1655" w:rsidRPr="00A46DC3">
        <w:rPr>
          <w:rFonts w:ascii="Times New Roman" w:hAnsi="Times New Roman" w:cs="Times New Roman"/>
          <w:sz w:val="24"/>
          <w:szCs w:val="24"/>
        </w:rPr>
        <w:t xml:space="preserve"> Manager Rev. Sr. </w:t>
      </w:r>
      <w:proofErr w:type="spellStart"/>
      <w:r w:rsidR="00EA1655" w:rsidRPr="00A46DC3">
        <w:rPr>
          <w:rFonts w:ascii="Times New Roman" w:hAnsi="Times New Roman" w:cs="Times New Roman"/>
          <w:sz w:val="24"/>
          <w:szCs w:val="24"/>
        </w:rPr>
        <w:t>Nilima</w:t>
      </w:r>
      <w:proofErr w:type="spellEnd"/>
      <w:r w:rsidR="00EA1655" w:rsidRPr="00A46DC3">
        <w:rPr>
          <w:rFonts w:ascii="Times New Roman" w:hAnsi="Times New Roman" w:cs="Times New Roman"/>
          <w:sz w:val="24"/>
          <w:szCs w:val="24"/>
        </w:rPr>
        <w:t xml:space="preserve"> CSST, President Rev. Sr. Jose Lynette,</w:t>
      </w:r>
      <w:r w:rsidRPr="00A46DC3">
        <w:rPr>
          <w:rFonts w:ascii="Times New Roman" w:hAnsi="Times New Roman" w:cs="Times New Roman"/>
          <w:sz w:val="24"/>
          <w:szCs w:val="24"/>
        </w:rPr>
        <w:t xml:space="preserve"> Principal </w:t>
      </w:r>
      <w:proofErr w:type="spellStart"/>
      <w:r w:rsidRPr="00A46DC3">
        <w:rPr>
          <w:rFonts w:ascii="Times New Roman" w:hAnsi="Times New Roman" w:cs="Times New Roman"/>
          <w:sz w:val="24"/>
          <w:szCs w:val="24"/>
        </w:rPr>
        <w:t>Dr.</w:t>
      </w:r>
      <w:proofErr w:type="spellEnd"/>
      <w:r w:rsidRPr="00A46DC3">
        <w:rPr>
          <w:rFonts w:ascii="Times New Roman" w:hAnsi="Times New Roman" w:cs="Times New Roman"/>
          <w:sz w:val="24"/>
          <w:szCs w:val="24"/>
        </w:rPr>
        <w:t xml:space="preserve"> Alphonsa Vijaya Joseph and to Ms. Elizabeth Rini K.F, Head of the Department of Commerce and all other faculties of the Department of commerce, St. Teresa’s College, for their support and valuable suggestions. </w:t>
      </w:r>
    </w:p>
    <w:p w14:paraId="16D0B3A7" w14:textId="77777777" w:rsidR="00C65715" w:rsidRPr="00A46DC3" w:rsidRDefault="00065C0B" w:rsidP="00065C0B">
      <w:pPr>
        <w:rPr>
          <w:rFonts w:ascii="Times New Roman" w:hAnsi="Times New Roman" w:cs="Times New Roman"/>
          <w:sz w:val="24"/>
          <w:szCs w:val="24"/>
        </w:rPr>
      </w:pPr>
      <w:r w:rsidRPr="00A46DC3">
        <w:rPr>
          <w:rFonts w:ascii="Times New Roman" w:hAnsi="Times New Roman" w:cs="Times New Roman"/>
          <w:sz w:val="24"/>
          <w:szCs w:val="24"/>
        </w:rPr>
        <w:t xml:space="preserve">We would like to express our thanks to all the respondents and colleagues who were associated with this study for their sincere contributions towards the successful completion of the project. </w:t>
      </w:r>
    </w:p>
    <w:p w14:paraId="574424DA" w14:textId="5F88D021" w:rsidR="00A05F37" w:rsidRPr="00A46DC3" w:rsidRDefault="00065C0B" w:rsidP="00065C0B">
      <w:pPr>
        <w:rPr>
          <w:rFonts w:ascii="Times New Roman" w:hAnsi="Times New Roman" w:cs="Times New Roman"/>
          <w:sz w:val="24"/>
          <w:szCs w:val="24"/>
        </w:rPr>
      </w:pPr>
      <w:r w:rsidRPr="00A46DC3">
        <w:rPr>
          <w:rFonts w:ascii="Times New Roman" w:hAnsi="Times New Roman" w:cs="Times New Roman"/>
          <w:sz w:val="24"/>
          <w:szCs w:val="24"/>
        </w:rPr>
        <w:t xml:space="preserve">We also extend heartfelt thanks to our family for their constant encouragement without which this project would not be possible. </w:t>
      </w:r>
    </w:p>
    <w:p w14:paraId="59D1074F" w14:textId="77777777" w:rsidR="000C1073" w:rsidRPr="00A46DC3" w:rsidRDefault="000C1073" w:rsidP="00C65715">
      <w:pPr>
        <w:jc w:val="right"/>
        <w:rPr>
          <w:rFonts w:ascii="Times New Roman" w:hAnsi="Times New Roman" w:cs="Times New Roman"/>
          <w:b/>
          <w:bCs/>
          <w:sz w:val="24"/>
          <w:szCs w:val="24"/>
        </w:rPr>
      </w:pPr>
    </w:p>
    <w:p w14:paraId="4CDCB65B" w14:textId="77777777" w:rsidR="00C65715" w:rsidRPr="00A46DC3" w:rsidRDefault="00C65715" w:rsidP="00C65715">
      <w:pPr>
        <w:jc w:val="right"/>
        <w:rPr>
          <w:rFonts w:ascii="Times New Roman" w:hAnsi="Times New Roman" w:cs="Times New Roman"/>
          <w:b/>
          <w:bCs/>
          <w:sz w:val="24"/>
          <w:szCs w:val="24"/>
        </w:rPr>
      </w:pPr>
    </w:p>
    <w:p w14:paraId="75FC50F3" w14:textId="77777777" w:rsidR="00C65715" w:rsidRPr="00A46DC3" w:rsidRDefault="00C65715" w:rsidP="00C65715">
      <w:pPr>
        <w:jc w:val="right"/>
        <w:rPr>
          <w:rFonts w:ascii="Times New Roman" w:hAnsi="Times New Roman" w:cs="Times New Roman"/>
          <w:b/>
          <w:bCs/>
          <w:sz w:val="24"/>
          <w:szCs w:val="24"/>
        </w:rPr>
      </w:pPr>
    </w:p>
    <w:p w14:paraId="6C2D501A" w14:textId="719BC0B3" w:rsidR="00C65715" w:rsidRPr="00A46DC3" w:rsidRDefault="00C65715" w:rsidP="00C65715">
      <w:pPr>
        <w:jc w:val="right"/>
        <w:rPr>
          <w:rFonts w:ascii="Times New Roman" w:hAnsi="Times New Roman" w:cs="Times New Roman"/>
          <w:b/>
          <w:bCs/>
          <w:sz w:val="24"/>
          <w:szCs w:val="24"/>
        </w:rPr>
      </w:pPr>
      <w:r w:rsidRPr="00A46DC3">
        <w:rPr>
          <w:rFonts w:ascii="Times New Roman" w:hAnsi="Times New Roman" w:cs="Times New Roman"/>
          <w:b/>
          <w:bCs/>
          <w:sz w:val="24"/>
          <w:szCs w:val="24"/>
        </w:rPr>
        <w:t>NEETHU FEBIAL M.</w:t>
      </w:r>
    </w:p>
    <w:p w14:paraId="4FBE4937" w14:textId="0C2760FD" w:rsidR="00C65715" w:rsidRPr="00A46DC3" w:rsidRDefault="00C65715" w:rsidP="00C65715">
      <w:pPr>
        <w:jc w:val="right"/>
        <w:rPr>
          <w:rFonts w:ascii="Times New Roman" w:hAnsi="Times New Roman" w:cs="Times New Roman"/>
          <w:b/>
          <w:bCs/>
          <w:sz w:val="24"/>
          <w:szCs w:val="24"/>
        </w:rPr>
      </w:pPr>
      <w:r w:rsidRPr="00A46DC3">
        <w:rPr>
          <w:rFonts w:ascii="Times New Roman" w:hAnsi="Times New Roman" w:cs="Times New Roman"/>
          <w:b/>
          <w:bCs/>
          <w:sz w:val="24"/>
          <w:szCs w:val="24"/>
        </w:rPr>
        <w:t>SHANNON SIBY GEORGE</w:t>
      </w:r>
    </w:p>
    <w:p w14:paraId="2D469186" w14:textId="77777777" w:rsidR="000C1073" w:rsidRPr="00A46DC3" w:rsidRDefault="000C1073" w:rsidP="007C2B7D">
      <w:pPr>
        <w:jc w:val="center"/>
        <w:rPr>
          <w:rFonts w:ascii="Times New Roman" w:hAnsi="Times New Roman" w:cs="Times New Roman"/>
          <w:b/>
          <w:bCs/>
          <w:sz w:val="24"/>
          <w:szCs w:val="24"/>
        </w:rPr>
      </w:pPr>
    </w:p>
    <w:p w14:paraId="2987A10A" w14:textId="77777777" w:rsidR="000C1073" w:rsidRPr="00A46DC3" w:rsidRDefault="000C1073" w:rsidP="007C2B7D">
      <w:pPr>
        <w:jc w:val="center"/>
        <w:rPr>
          <w:rFonts w:ascii="Times New Roman" w:hAnsi="Times New Roman" w:cs="Times New Roman"/>
          <w:b/>
          <w:bCs/>
          <w:sz w:val="24"/>
          <w:szCs w:val="24"/>
        </w:rPr>
      </w:pPr>
    </w:p>
    <w:p w14:paraId="5A0FAEAF" w14:textId="77777777" w:rsidR="0034648C" w:rsidRPr="00A46DC3" w:rsidRDefault="0034648C" w:rsidP="007C2B7D">
      <w:pPr>
        <w:jc w:val="center"/>
        <w:rPr>
          <w:rFonts w:ascii="Times New Roman" w:hAnsi="Times New Roman" w:cs="Times New Roman"/>
          <w:b/>
          <w:bCs/>
          <w:sz w:val="24"/>
          <w:szCs w:val="24"/>
        </w:rPr>
      </w:pPr>
    </w:p>
    <w:p w14:paraId="602881B7" w14:textId="77777777" w:rsidR="0034648C" w:rsidRPr="00A46DC3" w:rsidRDefault="0034648C" w:rsidP="007C2B7D">
      <w:pPr>
        <w:jc w:val="center"/>
        <w:rPr>
          <w:rFonts w:ascii="Times New Roman" w:hAnsi="Times New Roman" w:cs="Times New Roman"/>
          <w:b/>
          <w:bCs/>
          <w:sz w:val="24"/>
          <w:szCs w:val="24"/>
        </w:rPr>
      </w:pPr>
    </w:p>
    <w:p w14:paraId="199BCD4A" w14:textId="77777777" w:rsidR="0034648C" w:rsidRPr="00A46DC3" w:rsidRDefault="0034648C" w:rsidP="007C2B7D">
      <w:pPr>
        <w:jc w:val="center"/>
        <w:rPr>
          <w:rFonts w:ascii="Times New Roman" w:hAnsi="Times New Roman" w:cs="Times New Roman"/>
          <w:b/>
          <w:bCs/>
          <w:sz w:val="24"/>
          <w:szCs w:val="24"/>
        </w:rPr>
      </w:pPr>
    </w:p>
    <w:p w14:paraId="13618451" w14:textId="77777777" w:rsidR="0034648C" w:rsidRPr="00A46DC3" w:rsidRDefault="0034648C" w:rsidP="007C2B7D">
      <w:pPr>
        <w:jc w:val="center"/>
        <w:rPr>
          <w:rFonts w:ascii="Times New Roman" w:hAnsi="Times New Roman" w:cs="Times New Roman"/>
          <w:b/>
          <w:bCs/>
          <w:sz w:val="24"/>
          <w:szCs w:val="24"/>
        </w:rPr>
      </w:pPr>
    </w:p>
    <w:p w14:paraId="54C4542D" w14:textId="77777777" w:rsidR="0034648C" w:rsidRPr="00A46DC3" w:rsidRDefault="0034648C" w:rsidP="007C2B7D">
      <w:pPr>
        <w:jc w:val="center"/>
        <w:rPr>
          <w:rFonts w:ascii="Times New Roman" w:hAnsi="Times New Roman" w:cs="Times New Roman"/>
          <w:b/>
          <w:bCs/>
          <w:sz w:val="24"/>
          <w:szCs w:val="24"/>
        </w:rPr>
      </w:pPr>
    </w:p>
    <w:p w14:paraId="06B5660F" w14:textId="77777777" w:rsidR="0034648C" w:rsidRPr="00A46DC3" w:rsidRDefault="0034648C" w:rsidP="007C2B7D">
      <w:pPr>
        <w:jc w:val="center"/>
        <w:rPr>
          <w:rFonts w:ascii="Times New Roman" w:hAnsi="Times New Roman" w:cs="Times New Roman"/>
          <w:b/>
          <w:bCs/>
          <w:sz w:val="24"/>
          <w:szCs w:val="24"/>
        </w:rPr>
      </w:pPr>
    </w:p>
    <w:p w14:paraId="74F736BA" w14:textId="77777777" w:rsidR="0034648C" w:rsidRPr="00A46DC3" w:rsidRDefault="0034648C" w:rsidP="007C2B7D">
      <w:pPr>
        <w:jc w:val="center"/>
        <w:rPr>
          <w:rFonts w:ascii="Times New Roman" w:hAnsi="Times New Roman" w:cs="Times New Roman"/>
          <w:b/>
          <w:bCs/>
          <w:sz w:val="24"/>
          <w:szCs w:val="24"/>
        </w:rPr>
      </w:pPr>
    </w:p>
    <w:p w14:paraId="2E4B58B6" w14:textId="77777777" w:rsidR="0034648C" w:rsidRPr="00A46DC3" w:rsidRDefault="0034648C" w:rsidP="007C2B7D">
      <w:pPr>
        <w:jc w:val="center"/>
        <w:rPr>
          <w:rFonts w:ascii="Times New Roman" w:hAnsi="Times New Roman" w:cs="Times New Roman"/>
          <w:b/>
          <w:bCs/>
          <w:sz w:val="24"/>
          <w:szCs w:val="24"/>
        </w:rPr>
      </w:pPr>
    </w:p>
    <w:p w14:paraId="0D102306" w14:textId="05437417" w:rsidR="00A05F37" w:rsidRPr="00A46DC3" w:rsidRDefault="00A05F37" w:rsidP="007C2B7D">
      <w:pPr>
        <w:jc w:val="center"/>
        <w:rPr>
          <w:rFonts w:ascii="Times New Roman" w:hAnsi="Times New Roman" w:cs="Times New Roman"/>
          <w:b/>
          <w:bCs/>
          <w:sz w:val="24"/>
          <w:szCs w:val="24"/>
        </w:rPr>
      </w:pPr>
    </w:p>
    <w:p w14:paraId="07C95A78" w14:textId="77777777" w:rsidR="00EA1655" w:rsidRPr="00A46DC3" w:rsidRDefault="00EA1655" w:rsidP="007C2B7D">
      <w:pPr>
        <w:jc w:val="center"/>
        <w:rPr>
          <w:rFonts w:ascii="Times New Roman" w:hAnsi="Times New Roman" w:cs="Times New Roman"/>
          <w:b/>
          <w:bCs/>
          <w:sz w:val="24"/>
          <w:szCs w:val="24"/>
        </w:rPr>
      </w:pPr>
    </w:p>
    <w:p w14:paraId="3FBBC742" w14:textId="60A983AD" w:rsidR="00A05F37" w:rsidRPr="00A46DC3" w:rsidRDefault="0023025D"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CONTENT</w:t>
      </w:r>
    </w:p>
    <w:tbl>
      <w:tblPr>
        <w:tblStyle w:val="TableGrid"/>
        <w:tblW w:w="0" w:type="auto"/>
        <w:tblLook w:val="04A0" w:firstRow="1" w:lastRow="0" w:firstColumn="1" w:lastColumn="0" w:noHBand="0" w:noVBand="1"/>
      </w:tblPr>
      <w:tblGrid>
        <w:gridCol w:w="846"/>
        <w:gridCol w:w="6804"/>
        <w:gridCol w:w="1366"/>
      </w:tblGrid>
      <w:tr w:rsidR="00613C14" w:rsidRPr="00A46DC3" w14:paraId="738F9B96" w14:textId="77777777" w:rsidTr="00613C14">
        <w:trPr>
          <w:trHeight w:val="621"/>
        </w:trPr>
        <w:tc>
          <w:tcPr>
            <w:tcW w:w="846" w:type="dxa"/>
          </w:tcPr>
          <w:p w14:paraId="496F3882" w14:textId="6C87F894" w:rsidR="00613C14" w:rsidRPr="00A46DC3" w:rsidRDefault="00613C14"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SI</w:t>
            </w:r>
            <w:r w:rsidR="0021745C" w:rsidRPr="00A46DC3">
              <w:rPr>
                <w:rFonts w:ascii="Times New Roman" w:hAnsi="Times New Roman" w:cs="Times New Roman"/>
                <w:b/>
                <w:bCs/>
                <w:sz w:val="24"/>
                <w:szCs w:val="24"/>
              </w:rPr>
              <w:t>. No.</w:t>
            </w:r>
          </w:p>
        </w:tc>
        <w:tc>
          <w:tcPr>
            <w:tcW w:w="6804" w:type="dxa"/>
          </w:tcPr>
          <w:p w14:paraId="4AD7BC93" w14:textId="25CC7E5C" w:rsidR="00613C14" w:rsidRPr="00A46DC3" w:rsidRDefault="0021745C"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Particulars</w:t>
            </w:r>
          </w:p>
        </w:tc>
        <w:tc>
          <w:tcPr>
            <w:tcW w:w="1366" w:type="dxa"/>
          </w:tcPr>
          <w:p w14:paraId="516A3C14" w14:textId="69A595FE" w:rsidR="00613C14" w:rsidRPr="00A46DC3" w:rsidRDefault="0021745C"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Page No.</w:t>
            </w:r>
          </w:p>
        </w:tc>
      </w:tr>
      <w:tr w:rsidR="00613C14" w:rsidRPr="00A46DC3" w14:paraId="7885C994" w14:textId="77777777" w:rsidTr="00613C14">
        <w:tc>
          <w:tcPr>
            <w:tcW w:w="846" w:type="dxa"/>
          </w:tcPr>
          <w:p w14:paraId="2BC0C2E3" w14:textId="03DCC05F" w:rsidR="00613C14" w:rsidRPr="00A46DC3" w:rsidRDefault="0021745C" w:rsidP="007C2B7D">
            <w:pPr>
              <w:jc w:val="center"/>
              <w:rPr>
                <w:rFonts w:ascii="Times New Roman" w:hAnsi="Times New Roman" w:cs="Times New Roman"/>
                <w:sz w:val="24"/>
                <w:szCs w:val="24"/>
              </w:rPr>
            </w:pPr>
            <w:r w:rsidRPr="00A46DC3">
              <w:rPr>
                <w:rFonts w:ascii="Times New Roman" w:hAnsi="Times New Roman" w:cs="Times New Roman"/>
                <w:sz w:val="24"/>
                <w:szCs w:val="24"/>
              </w:rPr>
              <w:t>1</w:t>
            </w:r>
          </w:p>
        </w:tc>
        <w:tc>
          <w:tcPr>
            <w:tcW w:w="6804" w:type="dxa"/>
          </w:tcPr>
          <w:p w14:paraId="1D01548F" w14:textId="2B6541AF" w:rsidR="00613C14" w:rsidRPr="00A46DC3" w:rsidRDefault="00A83B54" w:rsidP="00A83B54">
            <w:pPr>
              <w:rPr>
                <w:rFonts w:ascii="Times New Roman" w:hAnsi="Times New Roman" w:cs="Times New Roman"/>
                <w:sz w:val="24"/>
                <w:szCs w:val="24"/>
              </w:rPr>
            </w:pPr>
            <w:r w:rsidRPr="00A46DC3">
              <w:rPr>
                <w:rFonts w:ascii="Times New Roman" w:hAnsi="Times New Roman" w:cs="Times New Roman"/>
                <w:sz w:val="24"/>
                <w:szCs w:val="24"/>
              </w:rPr>
              <w:t>List of Tables</w:t>
            </w:r>
          </w:p>
        </w:tc>
        <w:tc>
          <w:tcPr>
            <w:tcW w:w="1366" w:type="dxa"/>
          </w:tcPr>
          <w:p w14:paraId="5715C079"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44D9CD18" w14:textId="77777777" w:rsidTr="00613C14">
        <w:tc>
          <w:tcPr>
            <w:tcW w:w="846" w:type="dxa"/>
          </w:tcPr>
          <w:p w14:paraId="74E2CCF8" w14:textId="43A4A688"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2</w:t>
            </w:r>
          </w:p>
        </w:tc>
        <w:tc>
          <w:tcPr>
            <w:tcW w:w="6804" w:type="dxa"/>
          </w:tcPr>
          <w:p w14:paraId="3BDE3404" w14:textId="669DD03E" w:rsidR="00613C14" w:rsidRPr="00A46DC3" w:rsidRDefault="00A83B54" w:rsidP="00A83B54">
            <w:pPr>
              <w:rPr>
                <w:rFonts w:ascii="Times New Roman" w:hAnsi="Times New Roman" w:cs="Times New Roman"/>
                <w:sz w:val="24"/>
                <w:szCs w:val="24"/>
              </w:rPr>
            </w:pPr>
            <w:r w:rsidRPr="00A46DC3">
              <w:rPr>
                <w:rFonts w:ascii="Times New Roman" w:hAnsi="Times New Roman" w:cs="Times New Roman"/>
                <w:sz w:val="24"/>
                <w:szCs w:val="24"/>
              </w:rPr>
              <w:t>List of Figures</w:t>
            </w:r>
          </w:p>
        </w:tc>
        <w:tc>
          <w:tcPr>
            <w:tcW w:w="1366" w:type="dxa"/>
          </w:tcPr>
          <w:p w14:paraId="567E42E9"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046E6F8C" w14:textId="77777777" w:rsidTr="00613C14">
        <w:tc>
          <w:tcPr>
            <w:tcW w:w="846" w:type="dxa"/>
          </w:tcPr>
          <w:p w14:paraId="39E49F87" w14:textId="4F3D048D"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3</w:t>
            </w:r>
          </w:p>
        </w:tc>
        <w:tc>
          <w:tcPr>
            <w:tcW w:w="6804" w:type="dxa"/>
          </w:tcPr>
          <w:p w14:paraId="12C8C06F" w14:textId="54F9E007" w:rsidR="00613C14" w:rsidRPr="00A46DC3" w:rsidRDefault="00A83B54" w:rsidP="00A83B54">
            <w:pPr>
              <w:rPr>
                <w:rFonts w:ascii="Times New Roman" w:hAnsi="Times New Roman" w:cs="Times New Roman"/>
                <w:sz w:val="24"/>
                <w:szCs w:val="24"/>
              </w:rPr>
            </w:pPr>
            <w:r w:rsidRPr="00A46DC3">
              <w:rPr>
                <w:rFonts w:ascii="Times New Roman" w:hAnsi="Times New Roman" w:cs="Times New Roman"/>
                <w:b/>
                <w:bCs/>
                <w:sz w:val="24"/>
                <w:szCs w:val="24"/>
              </w:rPr>
              <w:t xml:space="preserve">Chapter 1 </w:t>
            </w:r>
            <w:r w:rsidR="007C29F5" w:rsidRPr="00A46DC3">
              <w:rPr>
                <w:rFonts w:ascii="Times New Roman" w:hAnsi="Times New Roman" w:cs="Times New Roman"/>
                <w:b/>
                <w:bCs/>
                <w:sz w:val="24"/>
                <w:szCs w:val="24"/>
              </w:rPr>
              <w:t>–</w:t>
            </w:r>
            <w:r w:rsidRPr="00A46DC3">
              <w:rPr>
                <w:rFonts w:ascii="Times New Roman" w:hAnsi="Times New Roman" w:cs="Times New Roman"/>
                <w:b/>
                <w:bCs/>
                <w:sz w:val="24"/>
                <w:szCs w:val="24"/>
              </w:rPr>
              <w:t xml:space="preserve"> </w:t>
            </w:r>
            <w:r w:rsidRPr="00A46DC3">
              <w:rPr>
                <w:rFonts w:ascii="Times New Roman" w:hAnsi="Times New Roman" w:cs="Times New Roman"/>
                <w:sz w:val="24"/>
                <w:szCs w:val="24"/>
              </w:rPr>
              <w:t>In</w:t>
            </w:r>
            <w:r w:rsidR="007C29F5" w:rsidRPr="00A46DC3">
              <w:rPr>
                <w:rFonts w:ascii="Times New Roman" w:hAnsi="Times New Roman" w:cs="Times New Roman"/>
                <w:sz w:val="24"/>
                <w:szCs w:val="24"/>
              </w:rPr>
              <w:t>troduction</w:t>
            </w:r>
          </w:p>
        </w:tc>
        <w:tc>
          <w:tcPr>
            <w:tcW w:w="1366" w:type="dxa"/>
          </w:tcPr>
          <w:p w14:paraId="3A8B1341"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216388C5" w14:textId="77777777" w:rsidTr="00613C14">
        <w:tc>
          <w:tcPr>
            <w:tcW w:w="846" w:type="dxa"/>
          </w:tcPr>
          <w:p w14:paraId="6750BEE7" w14:textId="1E958E0B"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4</w:t>
            </w:r>
          </w:p>
        </w:tc>
        <w:tc>
          <w:tcPr>
            <w:tcW w:w="6804" w:type="dxa"/>
          </w:tcPr>
          <w:p w14:paraId="1FB89609" w14:textId="0C593815" w:rsidR="00613C14" w:rsidRPr="00A46DC3" w:rsidRDefault="007C29F5" w:rsidP="00A83B54">
            <w:pPr>
              <w:rPr>
                <w:rFonts w:ascii="Times New Roman" w:hAnsi="Times New Roman" w:cs="Times New Roman"/>
                <w:sz w:val="24"/>
                <w:szCs w:val="24"/>
              </w:rPr>
            </w:pPr>
            <w:r w:rsidRPr="00A46DC3">
              <w:rPr>
                <w:rFonts w:ascii="Times New Roman" w:hAnsi="Times New Roman" w:cs="Times New Roman"/>
                <w:b/>
                <w:bCs/>
                <w:sz w:val="24"/>
                <w:szCs w:val="24"/>
              </w:rPr>
              <w:t xml:space="preserve">Chapter 2 – </w:t>
            </w:r>
            <w:r w:rsidRPr="00A46DC3">
              <w:rPr>
                <w:rFonts w:ascii="Times New Roman" w:hAnsi="Times New Roman" w:cs="Times New Roman"/>
                <w:sz w:val="24"/>
                <w:szCs w:val="24"/>
              </w:rPr>
              <w:t>Literature Review</w:t>
            </w:r>
          </w:p>
        </w:tc>
        <w:tc>
          <w:tcPr>
            <w:tcW w:w="1366" w:type="dxa"/>
          </w:tcPr>
          <w:p w14:paraId="0760A340"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5F123950" w14:textId="77777777" w:rsidTr="00613C14">
        <w:tc>
          <w:tcPr>
            <w:tcW w:w="846" w:type="dxa"/>
          </w:tcPr>
          <w:p w14:paraId="0282C217" w14:textId="6A76FF48"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5</w:t>
            </w:r>
          </w:p>
        </w:tc>
        <w:tc>
          <w:tcPr>
            <w:tcW w:w="6804" w:type="dxa"/>
          </w:tcPr>
          <w:p w14:paraId="6D5C9BA2" w14:textId="0D0FC0D0" w:rsidR="00613C14" w:rsidRPr="00A46DC3" w:rsidRDefault="007C29F5" w:rsidP="00A83B54">
            <w:pPr>
              <w:rPr>
                <w:rFonts w:ascii="Times New Roman" w:hAnsi="Times New Roman" w:cs="Times New Roman"/>
                <w:sz w:val="24"/>
                <w:szCs w:val="24"/>
              </w:rPr>
            </w:pPr>
            <w:r w:rsidRPr="00A46DC3">
              <w:rPr>
                <w:rFonts w:ascii="Times New Roman" w:hAnsi="Times New Roman" w:cs="Times New Roman"/>
                <w:b/>
                <w:bCs/>
                <w:sz w:val="24"/>
                <w:szCs w:val="24"/>
              </w:rPr>
              <w:t xml:space="preserve">Chapter 3 – </w:t>
            </w:r>
            <w:r w:rsidRPr="00A46DC3">
              <w:rPr>
                <w:rFonts w:ascii="Times New Roman" w:hAnsi="Times New Roman" w:cs="Times New Roman"/>
                <w:sz w:val="24"/>
                <w:szCs w:val="24"/>
              </w:rPr>
              <w:t>Theoretical Framework</w:t>
            </w:r>
          </w:p>
        </w:tc>
        <w:tc>
          <w:tcPr>
            <w:tcW w:w="1366" w:type="dxa"/>
          </w:tcPr>
          <w:p w14:paraId="14CB874C"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6E5DC90B" w14:textId="77777777" w:rsidTr="00613C14">
        <w:tc>
          <w:tcPr>
            <w:tcW w:w="846" w:type="dxa"/>
          </w:tcPr>
          <w:p w14:paraId="592D8F92" w14:textId="722C4B57"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6</w:t>
            </w:r>
          </w:p>
        </w:tc>
        <w:tc>
          <w:tcPr>
            <w:tcW w:w="6804" w:type="dxa"/>
          </w:tcPr>
          <w:p w14:paraId="43E9C841" w14:textId="4F50E712" w:rsidR="00613C14" w:rsidRPr="00A46DC3" w:rsidRDefault="007C29F5" w:rsidP="00A83B54">
            <w:pPr>
              <w:rPr>
                <w:rFonts w:ascii="Times New Roman" w:hAnsi="Times New Roman" w:cs="Times New Roman"/>
                <w:sz w:val="24"/>
                <w:szCs w:val="24"/>
              </w:rPr>
            </w:pPr>
            <w:r w:rsidRPr="00A46DC3">
              <w:rPr>
                <w:rFonts w:ascii="Times New Roman" w:hAnsi="Times New Roman" w:cs="Times New Roman"/>
                <w:b/>
                <w:bCs/>
                <w:sz w:val="24"/>
                <w:szCs w:val="24"/>
              </w:rPr>
              <w:t xml:space="preserve">Chapter 4 – </w:t>
            </w:r>
            <w:r w:rsidRPr="00A46DC3">
              <w:rPr>
                <w:rFonts w:ascii="Times New Roman" w:hAnsi="Times New Roman" w:cs="Times New Roman"/>
                <w:sz w:val="24"/>
                <w:szCs w:val="24"/>
              </w:rPr>
              <w:t>Data Analysis and Interpre</w:t>
            </w:r>
            <w:r w:rsidR="00BC4306" w:rsidRPr="00A46DC3">
              <w:rPr>
                <w:rFonts w:ascii="Times New Roman" w:hAnsi="Times New Roman" w:cs="Times New Roman"/>
                <w:sz w:val="24"/>
                <w:szCs w:val="24"/>
              </w:rPr>
              <w:t>tation</w:t>
            </w:r>
          </w:p>
        </w:tc>
        <w:tc>
          <w:tcPr>
            <w:tcW w:w="1366" w:type="dxa"/>
          </w:tcPr>
          <w:p w14:paraId="7AB434E2"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7AEBC3AD" w14:textId="77777777" w:rsidTr="00613C14">
        <w:tc>
          <w:tcPr>
            <w:tcW w:w="846" w:type="dxa"/>
          </w:tcPr>
          <w:p w14:paraId="1EF6B072" w14:textId="28532ECF"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7</w:t>
            </w:r>
          </w:p>
        </w:tc>
        <w:tc>
          <w:tcPr>
            <w:tcW w:w="6804" w:type="dxa"/>
          </w:tcPr>
          <w:p w14:paraId="78DBCC38" w14:textId="7603355C" w:rsidR="00613C14" w:rsidRPr="00A46DC3" w:rsidRDefault="00BC4306" w:rsidP="00A83B54">
            <w:pPr>
              <w:rPr>
                <w:rFonts w:ascii="Times New Roman" w:hAnsi="Times New Roman" w:cs="Times New Roman"/>
                <w:sz w:val="24"/>
                <w:szCs w:val="24"/>
              </w:rPr>
            </w:pPr>
            <w:r w:rsidRPr="00A46DC3">
              <w:rPr>
                <w:rFonts w:ascii="Times New Roman" w:hAnsi="Times New Roman" w:cs="Times New Roman"/>
                <w:b/>
                <w:bCs/>
                <w:sz w:val="24"/>
                <w:szCs w:val="24"/>
              </w:rPr>
              <w:t xml:space="preserve">Chapter 5 – </w:t>
            </w:r>
            <w:r w:rsidRPr="00A46DC3">
              <w:rPr>
                <w:rFonts w:ascii="Times New Roman" w:hAnsi="Times New Roman" w:cs="Times New Roman"/>
                <w:sz w:val="24"/>
                <w:szCs w:val="24"/>
              </w:rPr>
              <w:t>Summary, Findings, Recommendations and Conclusion</w:t>
            </w:r>
          </w:p>
        </w:tc>
        <w:tc>
          <w:tcPr>
            <w:tcW w:w="1366" w:type="dxa"/>
          </w:tcPr>
          <w:p w14:paraId="23367323" w14:textId="77777777" w:rsidR="00613C14" w:rsidRPr="00A46DC3" w:rsidRDefault="00613C14" w:rsidP="007C2B7D">
            <w:pPr>
              <w:jc w:val="center"/>
              <w:rPr>
                <w:rFonts w:ascii="Times New Roman" w:hAnsi="Times New Roman" w:cs="Times New Roman"/>
                <w:b/>
                <w:bCs/>
                <w:sz w:val="24"/>
                <w:szCs w:val="24"/>
              </w:rPr>
            </w:pPr>
          </w:p>
        </w:tc>
      </w:tr>
      <w:tr w:rsidR="00613C14" w:rsidRPr="00A46DC3" w14:paraId="256BD225" w14:textId="77777777" w:rsidTr="00613C14">
        <w:tc>
          <w:tcPr>
            <w:tcW w:w="846" w:type="dxa"/>
          </w:tcPr>
          <w:p w14:paraId="41BECC5E" w14:textId="1A378BC0" w:rsidR="00613C14" w:rsidRPr="00A46DC3" w:rsidRDefault="00A83B54" w:rsidP="007C2B7D">
            <w:pPr>
              <w:jc w:val="center"/>
              <w:rPr>
                <w:rFonts w:ascii="Times New Roman" w:hAnsi="Times New Roman" w:cs="Times New Roman"/>
                <w:sz w:val="24"/>
                <w:szCs w:val="24"/>
              </w:rPr>
            </w:pPr>
            <w:r w:rsidRPr="00A46DC3">
              <w:rPr>
                <w:rFonts w:ascii="Times New Roman" w:hAnsi="Times New Roman" w:cs="Times New Roman"/>
                <w:sz w:val="24"/>
                <w:szCs w:val="24"/>
              </w:rPr>
              <w:t>8</w:t>
            </w:r>
          </w:p>
        </w:tc>
        <w:tc>
          <w:tcPr>
            <w:tcW w:w="6804" w:type="dxa"/>
          </w:tcPr>
          <w:p w14:paraId="4FB30A30" w14:textId="4F3BD79D" w:rsidR="00613C14" w:rsidRPr="00A46DC3" w:rsidRDefault="00BC4306" w:rsidP="00A83B54">
            <w:pPr>
              <w:rPr>
                <w:rFonts w:ascii="Times New Roman" w:hAnsi="Times New Roman" w:cs="Times New Roman"/>
                <w:b/>
                <w:bCs/>
                <w:sz w:val="24"/>
                <w:szCs w:val="24"/>
              </w:rPr>
            </w:pPr>
            <w:r w:rsidRPr="00A46DC3">
              <w:rPr>
                <w:rFonts w:ascii="Times New Roman" w:hAnsi="Times New Roman" w:cs="Times New Roman"/>
                <w:b/>
                <w:bCs/>
                <w:sz w:val="24"/>
                <w:szCs w:val="24"/>
              </w:rPr>
              <w:t>Bibliography</w:t>
            </w:r>
          </w:p>
        </w:tc>
        <w:tc>
          <w:tcPr>
            <w:tcW w:w="1366" w:type="dxa"/>
          </w:tcPr>
          <w:p w14:paraId="229ABDB0" w14:textId="77777777" w:rsidR="00613C14" w:rsidRPr="00A46DC3" w:rsidRDefault="00613C14" w:rsidP="007C2B7D">
            <w:pPr>
              <w:jc w:val="center"/>
              <w:rPr>
                <w:rFonts w:ascii="Times New Roman" w:hAnsi="Times New Roman" w:cs="Times New Roman"/>
                <w:b/>
                <w:bCs/>
                <w:sz w:val="24"/>
                <w:szCs w:val="24"/>
              </w:rPr>
            </w:pPr>
          </w:p>
        </w:tc>
      </w:tr>
    </w:tbl>
    <w:p w14:paraId="057DABED" w14:textId="77777777" w:rsidR="0023025D" w:rsidRPr="00A46DC3" w:rsidRDefault="0023025D" w:rsidP="007C2B7D">
      <w:pPr>
        <w:jc w:val="center"/>
        <w:rPr>
          <w:rFonts w:ascii="Times New Roman" w:hAnsi="Times New Roman" w:cs="Times New Roman"/>
          <w:b/>
          <w:bCs/>
          <w:sz w:val="24"/>
          <w:szCs w:val="24"/>
        </w:rPr>
      </w:pPr>
    </w:p>
    <w:p w14:paraId="79219CB9" w14:textId="77777777" w:rsidR="00A05F37" w:rsidRPr="00A46DC3" w:rsidRDefault="00A05F37" w:rsidP="007C2B7D">
      <w:pPr>
        <w:jc w:val="center"/>
        <w:rPr>
          <w:rFonts w:ascii="Times New Roman" w:hAnsi="Times New Roman" w:cs="Times New Roman"/>
          <w:b/>
          <w:bCs/>
          <w:sz w:val="24"/>
          <w:szCs w:val="24"/>
        </w:rPr>
      </w:pPr>
    </w:p>
    <w:p w14:paraId="51D3B700" w14:textId="77777777" w:rsidR="00A05F37" w:rsidRPr="00A46DC3" w:rsidRDefault="00A05F37" w:rsidP="007C2B7D">
      <w:pPr>
        <w:jc w:val="center"/>
        <w:rPr>
          <w:rFonts w:ascii="Times New Roman" w:hAnsi="Times New Roman" w:cs="Times New Roman"/>
          <w:b/>
          <w:bCs/>
          <w:sz w:val="24"/>
          <w:szCs w:val="24"/>
        </w:rPr>
      </w:pPr>
    </w:p>
    <w:p w14:paraId="6DD3A8BB" w14:textId="77777777" w:rsidR="00A05F37" w:rsidRPr="00A46DC3" w:rsidRDefault="00A05F37" w:rsidP="007C2B7D">
      <w:pPr>
        <w:jc w:val="center"/>
        <w:rPr>
          <w:rFonts w:ascii="Times New Roman" w:hAnsi="Times New Roman" w:cs="Times New Roman"/>
          <w:b/>
          <w:bCs/>
          <w:sz w:val="24"/>
          <w:szCs w:val="24"/>
        </w:rPr>
      </w:pPr>
    </w:p>
    <w:p w14:paraId="64EC13B5" w14:textId="77777777" w:rsidR="00A05F37" w:rsidRPr="00A46DC3" w:rsidRDefault="00A05F37" w:rsidP="007C2B7D">
      <w:pPr>
        <w:jc w:val="center"/>
        <w:rPr>
          <w:rFonts w:ascii="Times New Roman" w:hAnsi="Times New Roman" w:cs="Times New Roman"/>
          <w:b/>
          <w:bCs/>
          <w:sz w:val="24"/>
          <w:szCs w:val="24"/>
        </w:rPr>
      </w:pPr>
    </w:p>
    <w:p w14:paraId="1C517546" w14:textId="77777777" w:rsidR="00A05F37" w:rsidRPr="00A46DC3" w:rsidRDefault="00A05F37" w:rsidP="007C2B7D">
      <w:pPr>
        <w:jc w:val="center"/>
        <w:rPr>
          <w:rFonts w:ascii="Times New Roman" w:hAnsi="Times New Roman" w:cs="Times New Roman"/>
          <w:b/>
          <w:bCs/>
          <w:sz w:val="24"/>
          <w:szCs w:val="24"/>
        </w:rPr>
      </w:pPr>
    </w:p>
    <w:p w14:paraId="0DF52440" w14:textId="77777777" w:rsidR="00A05F37" w:rsidRPr="00A46DC3" w:rsidRDefault="00A05F37" w:rsidP="007C2B7D">
      <w:pPr>
        <w:jc w:val="center"/>
        <w:rPr>
          <w:rFonts w:ascii="Times New Roman" w:hAnsi="Times New Roman" w:cs="Times New Roman"/>
          <w:b/>
          <w:bCs/>
          <w:sz w:val="24"/>
          <w:szCs w:val="24"/>
        </w:rPr>
      </w:pPr>
    </w:p>
    <w:p w14:paraId="23380054" w14:textId="77777777" w:rsidR="00C84A38" w:rsidRPr="00A46DC3" w:rsidRDefault="00C84A38" w:rsidP="007C2B7D">
      <w:pPr>
        <w:jc w:val="center"/>
        <w:rPr>
          <w:rFonts w:ascii="Times New Roman" w:hAnsi="Times New Roman" w:cs="Times New Roman"/>
          <w:b/>
          <w:bCs/>
          <w:sz w:val="24"/>
          <w:szCs w:val="24"/>
        </w:rPr>
      </w:pPr>
    </w:p>
    <w:p w14:paraId="338F42AE" w14:textId="77777777" w:rsidR="00C84A38" w:rsidRPr="00A46DC3" w:rsidRDefault="00C84A38" w:rsidP="007C2B7D">
      <w:pPr>
        <w:jc w:val="center"/>
        <w:rPr>
          <w:rFonts w:ascii="Times New Roman" w:hAnsi="Times New Roman" w:cs="Times New Roman"/>
          <w:b/>
          <w:bCs/>
          <w:sz w:val="24"/>
          <w:szCs w:val="24"/>
        </w:rPr>
      </w:pPr>
    </w:p>
    <w:p w14:paraId="39627441" w14:textId="77777777" w:rsidR="00C84A38" w:rsidRPr="00A46DC3" w:rsidRDefault="00C84A38" w:rsidP="007C2B7D">
      <w:pPr>
        <w:jc w:val="center"/>
        <w:rPr>
          <w:rFonts w:ascii="Times New Roman" w:hAnsi="Times New Roman" w:cs="Times New Roman"/>
          <w:b/>
          <w:bCs/>
          <w:sz w:val="24"/>
          <w:szCs w:val="24"/>
        </w:rPr>
      </w:pPr>
    </w:p>
    <w:p w14:paraId="14669D12" w14:textId="77777777" w:rsidR="00C84A38" w:rsidRPr="00A46DC3" w:rsidRDefault="00C84A38" w:rsidP="007C2B7D">
      <w:pPr>
        <w:jc w:val="center"/>
        <w:rPr>
          <w:rFonts w:ascii="Times New Roman" w:hAnsi="Times New Roman" w:cs="Times New Roman"/>
          <w:b/>
          <w:bCs/>
          <w:sz w:val="24"/>
          <w:szCs w:val="24"/>
        </w:rPr>
      </w:pPr>
    </w:p>
    <w:p w14:paraId="2115EBB5" w14:textId="77777777" w:rsidR="00C84A38" w:rsidRPr="00A46DC3" w:rsidRDefault="00C84A38" w:rsidP="007C2B7D">
      <w:pPr>
        <w:jc w:val="center"/>
        <w:rPr>
          <w:rFonts w:ascii="Times New Roman" w:hAnsi="Times New Roman" w:cs="Times New Roman"/>
          <w:b/>
          <w:bCs/>
          <w:sz w:val="24"/>
          <w:szCs w:val="24"/>
        </w:rPr>
      </w:pPr>
    </w:p>
    <w:p w14:paraId="611DA163" w14:textId="77777777" w:rsidR="00C84A38" w:rsidRPr="00A46DC3" w:rsidRDefault="00C84A38" w:rsidP="007C2B7D">
      <w:pPr>
        <w:jc w:val="center"/>
        <w:rPr>
          <w:rFonts w:ascii="Times New Roman" w:hAnsi="Times New Roman" w:cs="Times New Roman"/>
          <w:b/>
          <w:bCs/>
          <w:sz w:val="24"/>
          <w:szCs w:val="24"/>
        </w:rPr>
      </w:pPr>
    </w:p>
    <w:p w14:paraId="50E43A88" w14:textId="77777777" w:rsidR="00C84A38" w:rsidRPr="00A46DC3" w:rsidRDefault="00C84A38" w:rsidP="007C2B7D">
      <w:pPr>
        <w:jc w:val="center"/>
        <w:rPr>
          <w:rFonts w:ascii="Times New Roman" w:hAnsi="Times New Roman" w:cs="Times New Roman"/>
          <w:b/>
          <w:bCs/>
          <w:sz w:val="24"/>
          <w:szCs w:val="24"/>
        </w:rPr>
      </w:pPr>
    </w:p>
    <w:p w14:paraId="2D4197CF" w14:textId="77777777" w:rsidR="00C84A38" w:rsidRPr="00A46DC3" w:rsidRDefault="00C84A38" w:rsidP="007C2B7D">
      <w:pPr>
        <w:jc w:val="center"/>
        <w:rPr>
          <w:rFonts w:ascii="Times New Roman" w:hAnsi="Times New Roman" w:cs="Times New Roman"/>
          <w:b/>
          <w:bCs/>
          <w:sz w:val="24"/>
          <w:szCs w:val="24"/>
        </w:rPr>
      </w:pPr>
    </w:p>
    <w:p w14:paraId="1A580BB7" w14:textId="77777777" w:rsidR="00C84A38" w:rsidRPr="00A46DC3" w:rsidRDefault="00C84A38" w:rsidP="007C2B7D">
      <w:pPr>
        <w:jc w:val="center"/>
        <w:rPr>
          <w:rFonts w:ascii="Times New Roman" w:hAnsi="Times New Roman" w:cs="Times New Roman"/>
          <w:b/>
          <w:bCs/>
          <w:sz w:val="24"/>
          <w:szCs w:val="24"/>
        </w:rPr>
      </w:pPr>
    </w:p>
    <w:p w14:paraId="5173509D" w14:textId="77777777" w:rsidR="00C84A38" w:rsidRPr="00A46DC3" w:rsidRDefault="00C84A38" w:rsidP="007C2B7D">
      <w:pPr>
        <w:jc w:val="center"/>
        <w:rPr>
          <w:rFonts w:ascii="Times New Roman" w:hAnsi="Times New Roman" w:cs="Times New Roman"/>
          <w:b/>
          <w:bCs/>
          <w:sz w:val="24"/>
          <w:szCs w:val="24"/>
        </w:rPr>
      </w:pPr>
    </w:p>
    <w:p w14:paraId="26B18B58" w14:textId="77777777" w:rsidR="00C84A38" w:rsidRPr="00A46DC3" w:rsidRDefault="00C84A38" w:rsidP="007C2B7D">
      <w:pPr>
        <w:jc w:val="center"/>
        <w:rPr>
          <w:rFonts w:ascii="Times New Roman" w:hAnsi="Times New Roman" w:cs="Times New Roman"/>
          <w:b/>
          <w:bCs/>
          <w:sz w:val="24"/>
          <w:szCs w:val="24"/>
        </w:rPr>
      </w:pPr>
    </w:p>
    <w:p w14:paraId="7B0A9E39" w14:textId="52A06557" w:rsidR="00C84A38" w:rsidRPr="00A46DC3" w:rsidRDefault="00C84A38" w:rsidP="007C2B7D">
      <w:pPr>
        <w:jc w:val="center"/>
        <w:rPr>
          <w:rFonts w:ascii="Times New Roman" w:hAnsi="Times New Roman" w:cs="Times New Roman"/>
          <w:b/>
          <w:bCs/>
          <w:sz w:val="24"/>
          <w:szCs w:val="24"/>
        </w:rPr>
      </w:pPr>
    </w:p>
    <w:p w14:paraId="6E5C99D6" w14:textId="7186A1C6" w:rsidR="00EA1655" w:rsidRPr="00A46DC3" w:rsidRDefault="00EA1655" w:rsidP="007C2B7D">
      <w:pPr>
        <w:jc w:val="center"/>
        <w:rPr>
          <w:rFonts w:ascii="Times New Roman" w:hAnsi="Times New Roman" w:cs="Times New Roman"/>
          <w:b/>
          <w:bCs/>
          <w:sz w:val="24"/>
          <w:szCs w:val="24"/>
        </w:rPr>
      </w:pPr>
    </w:p>
    <w:p w14:paraId="54F90CA9" w14:textId="77777777" w:rsidR="00EA1655" w:rsidRPr="00A46DC3" w:rsidRDefault="00EA1655" w:rsidP="007C2B7D">
      <w:pPr>
        <w:jc w:val="center"/>
        <w:rPr>
          <w:rFonts w:ascii="Times New Roman" w:hAnsi="Times New Roman" w:cs="Times New Roman"/>
          <w:b/>
          <w:bCs/>
          <w:sz w:val="24"/>
          <w:szCs w:val="24"/>
        </w:rPr>
      </w:pPr>
    </w:p>
    <w:p w14:paraId="755330CE" w14:textId="77777777" w:rsidR="00C84A38" w:rsidRPr="00A46DC3" w:rsidRDefault="00C84A38" w:rsidP="007C2B7D">
      <w:pPr>
        <w:jc w:val="center"/>
        <w:rPr>
          <w:rFonts w:ascii="Times New Roman" w:hAnsi="Times New Roman" w:cs="Times New Roman"/>
          <w:b/>
          <w:bCs/>
          <w:sz w:val="24"/>
          <w:szCs w:val="24"/>
        </w:rPr>
      </w:pPr>
    </w:p>
    <w:p w14:paraId="532FC31B" w14:textId="1C8ED71F" w:rsidR="00C84A38" w:rsidRPr="00A46DC3" w:rsidRDefault="00C84A38"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LIST OF TABLES</w:t>
      </w:r>
    </w:p>
    <w:tbl>
      <w:tblPr>
        <w:tblStyle w:val="TableGrid"/>
        <w:tblW w:w="0" w:type="auto"/>
        <w:tblLook w:val="04A0" w:firstRow="1" w:lastRow="0" w:firstColumn="1" w:lastColumn="0" w:noHBand="0" w:noVBand="1"/>
      </w:tblPr>
      <w:tblGrid>
        <w:gridCol w:w="846"/>
        <w:gridCol w:w="6804"/>
        <w:gridCol w:w="1366"/>
      </w:tblGrid>
      <w:tr w:rsidR="003D7D19" w:rsidRPr="00A46DC3" w14:paraId="51466148" w14:textId="77777777" w:rsidTr="00EA1655">
        <w:trPr>
          <w:trHeight w:val="621"/>
        </w:trPr>
        <w:tc>
          <w:tcPr>
            <w:tcW w:w="846" w:type="dxa"/>
          </w:tcPr>
          <w:p w14:paraId="3BEB2AD5" w14:textId="77777777" w:rsidR="003D7D19" w:rsidRPr="00A46DC3" w:rsidRDefault="003D7D19"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SI. No.</w:t>
            </w:r>
          </w:p>
        </w:tc>
        <w:tc>
          <w:tcPr>
            <w:tcW w:w="6804" w:type="dxa"/>
          </w:tcPr>
          <w:p w14:paraId="47D70BB7" w14:textId="77777777" w:rsidR="003D7D19" w:rsidRPr="00A46DC3" w:rsidRDefault="003D7D19"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Particulars</w:t>
            </w:r>
          </w:p>
        </w:tc>
        <w:tc>
          <w:tcPr>
            <w:tcW w:w="1366" w:type="dxa"/>
          </w:tcPr>
          <w:p w14:paraId="1FE93942" w14:textId="77777777" w:rsidR="003D7D19" w:rsidRPr="00A46DC3" w:rsidRDefault="003D7D19"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Page No.</w:t>
            </w:r>
          </w:p>
        </w:tc>
      </w:tr>
      <w:tr w:rsidR="003D7D19" w:rsidRPr="00A46DC3" w14:paraId="1EA545FC" w14:textId="77777777" w:rsidTr="00EA1655">
        <w:tc>
          <w:tcPr>
            <w:tcW w:w="846" w:type="dxa"/>
          </w:tcPr>
          <w:p w14:paraId="140EEBDD" w14:textId="5F7B5DEE" w:rsidR="003D7D19" w:rsidRPr="00A46DC3" w:rsidRDefault="008533D8" w:rsidP="00EA1655">
            <w:pPr>
              <w:jc w:val="center"/>
              <w:rPr>
                <w:rFonts w:ascii="Times New Roman" w:hAnsi="Times New Roman" w:cs="Times New Roman"/>
                <w:sz w:val="24"/>
                <w:szCs w:val="24"/>
              </w:rPr>
            </w:pPr>
            <w:r w:rsidRPr="00A46DC3">
              <w:rPr>
                <w:rFonts w:ascii="Times New Roman" w:hAnsi="Times New Roman" w:cs="Times New Roman"/>
                <w:sz w:val="24"/>
                <w:szCs w:val="24"/>
              </w:rPr>
              <w:t>4.1</w:t>
            </w:r>
          </w:p>
        </w:tc>
        <w:tc>
          <w:tcPr>
            <w:tcW w:w="6804" w:type="dxa"/>
          </w:tcPr>
          <w:p w14:paraId="1B7B358F" w14:textId="1ACF5133" w:rsidR="003D7D19" w:rsidRPr="00A46DC3" w:rsidRDefault="008533D8" w:rsidP="00EA1655">
            <w:pPr>
              <w:rPr>
                <w:rFonts w:ascii="Times New Roman" w:hAnsi="Times New Roman" w:cs="Times New Roman"/>
                <w:sz w:val="24"/>
                <w:szCs w:val="24"/>
              </w:rPr>
            </w:pPr>
            <w:r w:rsidRPr="00A46DC3">
              <w:rPr>
                <w:rFonts w:ascii="Times New Roman" w:hAnsi="Times New Roman" w:cs="Times New Roman"/>
                <w:sz w:val="24"/>
                <w:szCs w:val="24"/>
              </w:rPr>
              <w:t>Showing the Net NPA Ratio of Federal Bank</w:t>
            </w:r>
          </w:p>
        </w:tc>
        <w:tc>
          <w:tcPr>
            <w:tcW w:w="1366" w:type="dxa"/>
          </w:tcPr>
          <w:p w14:paraId="60C2723C" w14:textId="77777777" w:rsidR="003D7D19" w:rsidRPr="00A46DC3" w:rsidRDefault="003D7D19" w:rsidP="00EA1655">
            <w:pPr>
              <w:jc w:val="center"/>
              <w:rPr>
                <w:rFonts w:ascii="Times New Roman" w:hAnsi="Times New Roman" w:cs="Times New Roman"/>
                <w:b/>
                <w:bCs/>
                <w:sz w:val="24"/>
                <w:szCs w:val="24"/>
              </w:rPr>
            </w:pPr>
          </w:p>
        </w:tc>
      </w:tr>
      <w:tr w:rsidR="003D7D19" w:rsidRPr="00A46DC3" w14:paraId="70F8452C" w14:textId="77777777" w:rsidTr="00EA1655">
        <w:tc>
          <w:tcPr>
            <w:tcW w:w="846" w:type="dxa"/>
          </w:tcPr>
          <w:p w14:paraId="457A9463" w14:textId="20F37685" w:rsidR="003D7D19" w:rsidRPr="00A46DC3" w:rsidRDefault="008533D8" w:rsidP="00EA1655">
            <w:pPr>
              <w:jc w:val="center"/>
              <w:rPr>
                <w:rFonts w:ascii="Times New Roman" w:hAnsi="Times New Roman" w:cs="Times New Roman"/>
                <w:sz w:val="24"/>
                <w:szCs w:val="24"/>
              </w:rPr>
            </w:pPr>
            <w:r w:rsidRPr="00A46DC3">
              <w:rPr>
                <w:rFonts w:ascii="Times New Roman" w:hAnsi="Times New Roman" w:cs="Times New Roman"/>
                <w:sz w:val="24"/>
                <w:szCs w:val="24"/>
              </w:rPr>
              <w:t>4.2</w:t>
            </w:r>
          </w:p>
        </w:tc>
        <w:tc>
          <w:tcPr>
            <w:tcW w:w="6804" w:type="dxa"/>
          </w:tcPr>
          <w:p w14:paraId="0A9B6A84" w14:textId="4E0339A7" w:rsidR="003D7D19" w:rsidRPr="00A46DC3" w:rsidRDefault="005146C2" w:rsidP="00EA1655">
            <w:pPr>
              <w:rPr>
                <w:rFonts w:ascii="Times New Roman" w:hAnsi="Times New Roman" w:cs="Times New Roman"/>
                <w:sz w:val="24"/>
                <w:szCs w:val="24"/>
              </w:rPr>
            </w:pPr>
            <w:r w:rsidRPr="00A46DC3">
              <w:rPr>
                <w:rFonts w:ascii="Times New Roman" w:hAnsi="Times New Roman" w:cs="Times New Roman"/>
                <w:sz w:val="24"/>
                <w:szCs w:val="24"/>
              </w:rPr>
              <w:t>Showing the Gross NPA Ratio of Federal Bank</w:t>
            </w:r>
          </w:p>
        </w:tc>
        <w:tc>
          <w:tcPr>
            <w:tcW w:w="1366" w:type="dxa"/>
          </w:tcPr>
          <w:p w14:paraId="0752078C" w14:textId="77777777" w:rsidR="003D7D19" w:rsidRPr="00A46DC3" w:rsidRDefault="003D7D19" w:rsidP="00EA1655">
            <w:pPr>
              <w:jc w:val="center"/>
              <w:rPr>
                <w:rFonts w:ascii="Times New Roman" w:hAnsi="Times New Roman" w:cs="Times New Roman"/>
                <w:b/>
                <w:bCs/>
                <w:sz w:val="24"/>
                <w:szCs w:val="24"/>
              </w:rPr>
            </w:pPr>
          </w:p>
        </w:tc>
      </w:tr>
      <w:tr w:rsidR="003D7D19" w:rsidRPr="00A46DC3" w14:paraId="37148415" w14:textId="77777777" w:rsidTr="00EA1655">
        <w:tc>
          <w:tcPr>
            <w:tcW w:w="846" w:type="dxa"/>
          </w:tcPr>
          <w:p w14:paraId="7F82957A" w14:textId="76099E20" w:rsidR="003D7D19" w:rsidRPr="00A46DC3" w:rsidRDefault="008533D8" w:rsidP="00EA1655">
            <w:pPr>
              <w:jc w:val="center"/>
              <w:rPr>
                <w:rFonts w:ascii="Times New Roman" w:hAnsi="Times New Roman" w:cs="Times New Roman"/>
                <w:sz w:val="24"/>
                <w:szCs w:val="24"/>
              </w:rPr>
            </w:pPr>
            <w:r w:rsidRPr="00A46DC3">
              <w:rPr>
                <w:rFonts w:ascii="Times New Roman" w:hAnsi="Times New Roman" w:cs="Times New Roman"/>
                <w:sz w:val="24"/>
                <w:szCs w:val="24"/>
              </w:rPr>
              <w:t>4.3</w:t>
            </w:r>
          </w:p>
        </w:tc>
        <w:tc>
          <w:tcPr>
            <w:tcW w:w="6804" w:type="dxa"/>
          </w:tcPr>
          <w:p w14:paraId="4FAD6A1F" w14:textId="7C4D30AB" w:rsidR="003D7D19" w:rsidRPr="00A46DC3" w:rsidRDefault="005146C2" w:rsidP="00EA1655">
            <w:pPr>
              <w:rPr>
                <w:rFonts w:ascii="Times New Roman" w:hAnsi="Times New Roman" w:cs="Times New Roman"/>
                <w:sz w:val="24"/>
                <w:szCs w:val="24"/>
              </w:rPr>
            </w:pPr>
            <w:r w:rsidRPr="00A46DC3">
              <w:rPr>
                <w:rFonts w:ascii="Times New Roman" w:hAnsi="Times New Roman" w:cs="Times New Roman"/>
                <w:sz w:val="24"/>
                <w:szCs w:val="24"/>
              </w:rPr>
              <w:t xml:space="preserve">Showing the Capital </w:t>
            </w:r>
            <w:r w:rsidR="00360E6A" w:rsidRPr="00A46DC3">
              <w:rPr>
                <w:rFonts w:ascii="Times New Roman" w:hAnsi="Times New Roman" w:cs="Times New Roman"/>
                <w:sz w:val="24"/>
                <w:szCs w:val="24"/>
              </w:rPr>
              <w:t>Adequacy</w:t>
            </w:r>
            <w:r w:rsidRPr="00A46DC3">
              <w:rPr>
                <w:rFonts w:ascii="Times New Roman" w:hAnsi="Times New Roman" w:cs="Times New Roman"/>
                <w:sz w:val="24"/>
                <w:szCs w:val="24"/>
              </w:rPr>
              <w:t xml:space="preserve"> Ratio of Federal Bank</w:t>
            </w:r>
          </w:p>
        </w:tc>
        <w:tc>
          <w:tcPr>
            <w:tcW w:w="1366" w:type="dxa"/>
          </w:tcPr>
          <w:p w14:paraId="4ACD0A64" w14:textId="77777777" w:rsidR="003D7D19" w:rsidRPr="00A46DC3" w:rsidRDefault="003D7D19" w:rsidP="00EA1655">
            <w:pPr>
              <w:jc w:val="center"/>
              <w:rPr>
                <w:rFonts w:ascii="Times New Roman" w:hAnsi="Times New Roman" w:cs="Times New Roman"/>
                <w:b/>
                <w:bCs/>
                <w:sz w:val="24"/>
                <w:szCs w:val="24"/>
              </w:rPr>
            </w:pPr>
          </w:p>
        </w:tc>
      </w:tr>
      <w:tr w:rsidR="00162B7C" w:rsidRPr="00A46DC3" w14:paraId="593A55F5" w14:textId="77777777" w:rsidTr="00EA1655">
        <w:tc>
          <w:tcPr>
            <w:tcW w:w="846" w:type="dxa"/>
          </w:tcPr>
          <w:p w14:paraId="749521AA" w14:textId="203F306A" w:rsidR="00162B7C" w:rsidRPr="00A46DC3" w:rsidRDefault="00162B7C" w:rsidP="00EA1655">
            <w:pPr>
              <w:jc w:val="center"/>
              <w:rPr>
                <w:rFonts w:ascii="Times New Roman" w:hAnsi="Times New Roman" w:cs="Times New Roman"/>
                <w:sz w:val="24"/>
                <w:szCs w:val="24"/>
              </w:rPr>
            </w:pPr>
            <w:r w:rsidRPr="00A46DC3">
              <w:rPr>
                <w:rFonts w:ascii="Times New Roman" w:hAnsi="Times New Roman" w:cs="Times New Roman"/>
                <w:sz w:val="24"/>
                <w:szCs w:val="24"/>
              </w:rPr>
              <w:t>4.4</w:t>
            </w:r>
          </w:p>
        </w:tc>
        <w:tc>
          <w:tcPr>
            <w:tcW w:w="6804" w:type="dxa"/>
          </w:tcPr>
          <w:p w14:paraId="183979A9" w14:textId="333113C5" w:rsidR="00162B7C" w:rsidRPr="00A46DC3" w:rsidRDefault="00162B7C" w:rsidP="00EA1655">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Federal Bank</w:t>
            </w:r>
          </w:p>
        </w:tc>
        <w:tc>
          <w:tcPr>
            <w:tcW w:w="1366" w:type="dxa"/>
          </w:tcPr>
          <w:p w14:paraId="6FFD0875" w14:textId="77777777" w:rsidR="00162B7C" w:rsidRPr="00A46DC3" w:rsidRDefault="00162B7C" w:rsidP="00EA1655">
            <w:pPr>
              <w:jc w:val="center"/>
              <w:rPr>
                <w:rFonts w:ascii="Times New Roman" w:hAnsi="Times New Roman" w:cs="Times New Roman"/>
                <w:b/>
                <w:bCs/>
                <w:sz w:val="24"/>
                <w:szCs w:val="24"/>
              </w:rPr>
            </w:pPr>
          </w:p>
        </w:tc>
      </w:tr>
      <w:tr w:rsidR="00360E6A" w:rsidRPr="00A46DC3" w14:paraId="15297A7A" w14:textId="77777777" w:rsidTr="00EA1655">
        <w:tc>
          <w:tcPr>
            <w:tcW w:w="846" w:type="dxa"/>
          </w:tcPr>
          <w:p w14:paraId="291BE6BB" w14:textId="356220BF"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5</w:t>
            </w:r>
          </w:p>
        </w:tc>
        <w:tc>
          <w:tcPr>
            <w:tcW w:w="6804" w:type="dxa"/>
          </w:tcPr>
          <w:p w14:paraId="2E6F6A41" w14:textId="586102C4"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Showing the Net NPA Ratio of State Bank of India</w:t>
            </w:r>
          </w:p>
        </w:tc>
        <w:tc>
          <w:tcPr>
            <w:tcW w:w="1366" w:type="dxa"/>
          </w:tcPr>
          <w:p w14:paraId="034BFCAF" w14:textId="77777777" w:rsidR="00360E6A" w:rsidRPr="00A46DC3" w:rsidRDefault="00360E6A" w:rsidP="00360E6A">
            <w:pPr>
              <w:jc w:val="center"/>
              <w:rPr>
                <w:rFonts w:ascii="Times New Roman" w:hAnsi="Times New Roman" w:cs="Times New Roman"/>
                <w:b/>
                <w:bCs/>
                <w:sz w:val="24"/>
                <w:szCs w:val="24"/>
              </w:rPr>
            </w:pPr>
          </w:p>
        </w:tc>
      </w:tr>
      <w:tr w:rsidR="00360E6A" w:rsidRPr="00A46DC3" w14:paraId="336835A1" w14:textId="77777777" w:rsidTr="00EA1655">
        <w:tc>
          <w:tcPr>
            <w:tcW w:w="846" w:type="dxa"/>
          </w:tcPr>
          <w:p w14:paraId="734C56F0" w14:textId="6F94EB70"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6</w:t>
            </w:r>
          </w:p>
        </w:tc>
        <w:tc>
          <w:tcPr>
            <w:tcW w:w="6804" w:type="dxa"/>
          </w:tcPr>
          <w:p w14:paraId="52B02401" w14:textId="37B7946C"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Showing the Gross NPA Ratio of State Bank of India</w:t>
            </w:r>
          </w:p>
        </w:tc>
        <w:tc>
          <w:tcPr>
            <w:tcW w:w="1366" w:type="dxa"/>
          </w:tcPr>
          <w:p w14:paraId="4A622D14" w14:textId="77777777" w:rsidR="00360E6A" w:rsidRPr="00A46DC3" w:rsidRDefault="00360E6A" w:rsidP="00360E6A">
            <w:pPr>
              <w:jc w:val="center"/>
              <w:rPr>
                <w:rFonts w:ascii="Times New Roman" w:hAnsi="Times New Roman" w:cs="Times New Roman"/>
                <w:b/>
                <w:bCs/>
                <w:sz w:val="24"/>
                <w:szCs w:val="24"/>
              </w:rPr>
            </w:pPr>
          </w:p>
        </w:tc>
      </w:tr>
      <w:tr w:rsidR="00360E6A" w:rsidRPr="00A46DC3" w14:paraId="14F59E16" w14:textId="77777777" w:rsidTr="00EA1655">
        <w:tc>
          <w:tcPr>
            <w:tcW w:w="846" w:type="dxa"/>
          </w:tcPr>
          <w:p w14:paraId="3FDE2167" w14:textId="49E2200C"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7</w:t>
            </w:r>
          </w:p>
        </w:tc>
        <w:tc>
          <w:tcPr>
            <w:tcW w:w="6804" w:type="dxa"/>
          </w:tcPr>
          <w:p w14:paraId="47B443EF" w14:textId="779B4099"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Showing the Capital Adequacy Ratio of State Bank of India</w:t>
            </w:r>
          </w:p>
        </w:tc>
        <w:tc>
          <w:tcPr>
            <w:tcW w:w="1366" w:type="dxa"/>
          </w:tcPr>
          <w:p w14:paraId="699F07A8" w14:textId="77777777" w:rsidR="00360E6A" w:rsidRPr="00A46DC3" w:rsidRDefault="00360E6A" w:rsidP="00360E6A">
            <w:pPr>
              <w:jc w:val="center"/>
              <w:rPr>
                <w:rFonts w:ascii="Times New Roman" w:hAnsi="Times New Roman" w:cs="Times New Roman"/>
                <w:b/>
                <w:bCs/>
                <w:sz w:val="24"/>
                <w:szCs w:val="24"/>
              </w:rPr>
            </w:pPr>
          </w:p>
        </w:tc>
      </w:tr>
      <w:tr w:rsidR="00162B7C" w:rsidRPr="00A46DC3" w14:paraId="5550A203" w14:textId="77777777" w:rsidTr="00EA1655">
        <w:tc>
          <w:tcPr>
            <w:tcW w:w="846" w:type="dxa"/>
          </w:tcPr>
          <w:p w14:paraId="2DCF6F25" w14:textId="0A237EF9" w:rsidR="00162B7C" w:rsidRPr="00A46DC3" w:rsidRDefault="00162B7C" w:rsidP="00360E6A">
            <w:pPr>
              <w:jc w:val="center"/>
              <w:rPr>
                <w:rFonts w:ascii="Times New Roman" w:hAnsi="Times New Roman" w:cs="Times New Roman"/>
                <w:sz w:val="24"/>
                <w:szCs w:val="24"/>
              </w:rPr>
            </w:pPr>
            <w:r w:rsidRPr="00A46DC3">
              <w:rPr>
                <w:rFonts w:ascii="Times New Roman" w:hAnsi="Times New Roman" w:cs="Times New Roman"/>
                <w:sz w:val="24"/>
                <w:szCs w:val="24"/>
              </w:rPr>
              <w:t>4.8</w:t>
            </w:r>
          </w:p>
        </w:tc>
        <w:tc>
          <w:tcPr>
            <w:tcW w:w="6804" w:type="dxa"/>
          </w:tcPr>
          <w:p w14:paraId="09E799B7" w14:textId="21467067" w:rsidR="00162B7C" w:rsidRPr="00A46DC3" w:rsidRDefault="00162B7C" w:rsidP="00360E6A">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State Bank of India</w:t>
            </w:r>
          </w:p>
        </w:tc>
        <w:tc>
          <w:tcPr>
            <w:tcW w:w="1366" w:type="dxa"/>
          </w:tcPr>
          <w:p w14:paraId="1500A899" w14:textId="77777777" w:rsidR="00162B7C" w:rsidRPr="00A46DC3" w:rsidRDefault="00162B7C" w:rsidP="00360E6A">
            <w:pPr>
              <w:jc w:val="center"/>
              <w:rPr>
                <w:rFonts w:ascii="Times New Roman" w:hAnsi="Times New Roman" w:cs="Times New Roman"/>
                <w:b/>
                <w:bCs/>
                <w:sz w:val="24"/>
                <w:szCs w:val="24"/>
              </w:rPr>
            </w:pPr>
          </w:p>
        </w:tc>
      </w:tr>
      <w:tr w:rsidR="00360E6A" w:rsidRPr="00A46DC3" w14:paraId="564A3FFA" w14:textId="77777777" w:rsidTr="00EA1655">
        <w:tc>
          <w:tcPr>
            <w:tcW w:w="846" w:type="dxa"/>
          </w:tcPr>
          <w:p w14:paraId="2DBE749B" w14:textId="133078D4"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9</w:t>
            </w:r>
          </w:p>
        </w:tc>
        <w:tc>
          <w:tcPr>
            <w:tcW w:w="6804" w:type="dxa"/>
          </w:tcPr>
          <w:p w14:paraId="7E8C2423" w14:textId="7837F6E1"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Showing the Net NPA Ratio of HDFC Bank</w:t>
            </w:r>
          </w:p>
        </w:tc>
        <w:tc>
          <w:tcPr>
            <w:tcW w:w="1366" w:type="dxa"/>
          </w:tcPr>
          <w:p w14:paraId="61535E01" w14:textId="77777777" w:rsidR="00360E6A" w:rsidRPr="00A46DC3" w:rsidRDefault="00360E6A" w:rsidP="00360E6A">
            <w:pPr>
              <w:jc w:val="center"/>
              <w:rPr>
                <w:rFonts w:ascii="Times New Roman" w:hAnsi="Times New Roman" w:cs="Times New Roman"/>
                <w:b/>
                <w:bCs/>
                <w:sz w:val="24"/>
                <w:szCs w:val="24"/>
              </w:rPr>
            </w:pPr>
          </w:p>
        </w:tc>
      </w:tr>
      <w:tr w:rsidR="00360E6A" w:rsidRPr="00A46DC3" w14:paraId="10E0B1F6" w14:textId="77777777" w:rsidTr="00EA1655">
        <w:tc>
          <w:tcPr>
            <w:tcW w:w="846" w:type="dxa"/>
          </w:tcPr>
          <w:p w14:paraId="79853E12" w14:textId="7051985F"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10</w:t>
            </w:r>
          </w:p>
        </w:tc>
        <w:tc>
          <w:tcPr>
            <w:tcW w:w="6804" w:type="dxa"/>
          </w:tcPr>
          <w:p w14:paraId="07AB3A18" w14:textId="05D1D51A"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Showing the Gross NPA Ratio of HDFC Bank</w:t>
            </w:r>
          </w:p>
        </w:tc>
        <w:tc>
          <w:tcPr>
            <w:tcW w:w="1366" w:type="dxa"/>
          </w:tcPr>
          <w:p w14:paraId="4EE06071" w14:textId="77777777" w:rsidR="00360E6A" w:rsidRPr="00A46DC3" w:rsidRDefault="00360E6A" w:rsidP="00360E6A">
            <w:pPr>
              <w:jc w:val="center"/>
              <w:rPr>
                <w:rFonts w:ascii="Times New Roman" w:hAnsi="Times New Roman" w:cs="Times New Roman"/>
                <w:b/>
                <w:bCs/>
                <w:sz w:val="24"/>
                <w:szCs w:val="24"/>
              </w:rPr>
            </w:pPr>
          </w:p>
        </w:tc>
      </w:tr>
      <w:tr w:rsidR="00360E6A" w:rsidRPr="00A46DC3" w14:paraId="0EAC1417" w14:textId="77777777" w:rsidTr="00EA1655">
        <w:tc>
          <w:tcPr>
            <w:tcW w:w="846" w:type="dxa"/>
          </w:tcPr>
          <w:p w14:paraId="7EE20781" w14:textId="07784515"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w:t>
            </w:r>
            <w:r w:rsidR="00162B7C" w:rsidRPr="00A46DC3">
              <w:rPr>
                <w:rFonts w:ascii="Times New Roman" w:hAnsi="Times New Roman" w:cs="Times New Roman"/>
                <w:sz w:val="24"/>
                <w:szCs w:val="24"/>
              </w:rPr>
              <w:t>11</w:t>
            </w:r>
          </w:p>
        </w:tc>
        <w:tc>
          <w:tcPr>
            <w:tcW w:w="6804" w:type="dxa"/>
          </w:tcPr>
          <w:p w14:paraId="4046E99F" w14:textId="1369849B" w:rsidR="00360E6A" w:rsidRPr="00A46DC3" w:rsidRDefault="00360E6A" w:rsidP="00360E6A">
            <w:pPr>
              <w:rPr>
                <w:rFonts w:ascii="Times New Roman" w:hAnsi="Times New Roman" w:cs="Times New Roman"/>
                <w:sz w:val="24"/>
                <w:szCs w:val="24"/>
              </w:rPr>
            </w:pPr>
            <w:r w:rsidRPr="00A46DC3">
              <w:rPr>
                <w:rFonts w:ascii="Times New Roman" w:hAnsi="Times New Roman" w:cs="Times New Roman"/>
                <w:sz w:val="24"/>
                <w:szCs w:val="24"/>
              </w:rPr>
              <w:t xml:space="preserve">Showing the Capital Adequacy Ratio of </w:t>
            </w:r>
            <w:r w:rsidR="00162B7C" w:rsidRPr="00A46DC3">
              <w:rPr>
                <w:rFonts w:ascii="Times New Roman" w:hAnsi="Times New Roman" w:cs="Times New Roman"/>
                <w:sz w:val="24"/>
                <w:szCs w:val="24"/>
              </w:rPr>
              <w:t>HDFC Bank</w:t>
            </w:r>
          </w:p>
        </w:tc>
        <w:tc>
          <w:tcPr>
            <w:tcW w:w="1366" w:type="dxa"/>
          </w:tcPr>
          <w:p w14:paraId="7B7D3D78" w14:textId="77777777" w:rsidR="00360E6A" w:rsidRPr="00A46DC3" w:rsidRDefault="00360E6A" w:rsidP="00360E6A">
            <w:pPr>
              <w:jc w:val="center"/>
              <w:rPr>
                <w:rFonts w:ascii="Times New Roman" w:hAnsi="Times New Roman" w:cs="Times New Roman"/>
                <w:b/>
                <w:bCs/>
                <w:sz w:val="24"/>
                <w:szCs w:val="24"/>
              </w:rPr>
            </w:pPr>
          </w:p>
        </w:tc>
      </w:tr>
      <w:tr w:rsidR="00162B7C" w:rsidRPr="00A46DC3" w14:paraId="1C782DDE" w14:textId="77777777" w:rsidTr="00EA1655">
        <w:tc>
          <w:tcPr>
            <w:tcW w:w="846" w:type="dxa"/>
          </w:tcPr>
          <w:p w14:paraId="5D844842" w14:textId="4CD6C284" w:rsidR="00162B7C" w:rsidRPr="00A46DC3" w:rsidRDefault="00162B7C" w:rsidP="00360E6A">
            <w:pPr>
              <w:jc w:val="center"/>
              <w:rPr>
                <w:rFonts w:ascii="Times New Roman" w:hAnsi="Times New Roman" w:cs="Times New Roman"/>
                <w:sz w:val="24"/>
                <w:szCs w:val="24"/>
              </w:rPr>
            </w:pPr>
            <w:r w:rsidRPr="00A46DC3">
              <w:rPr>
                <w:rFonts w:ascii="Times New Roman" w:hAnsi="Times New Roman" w:cs="Times New Roman"/>
                <w:sz w:val="24"/>
                <w:szCs w:val="24"/>
              </w:rPr>
              <w:t>4.12</w:t>
            </w:r>
          </w:p>
        </w:tc>
        <w:tc>
          <w:tcPr>
            <w:tcW w:w="6804" w:type="dxa"/>
          </w:tcPr>
          <w:p w14:paraId="36D4EAB0" w14:textId="1319FEA2" w:rsidR="00162B7C" w:rsidRPr="00A46DC3" w:rsidRDefault="00162B7C" w:rsidP="00360E6A">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HDFC Bank</w:t>
            </w:r>
          </w:p>
        </w:tc>
        <w:tc>
          <w:tcPr>
            <w:tcW w:w="1366" w:type="dxa"/>
          </w:tcPr>
          <w:p w14:paraId="213C2C32" w14:textId="77777777" w:rsidR="00162B7C" w:rsidRPr="00A46DC3" w:rsidRDefault="00162B7C" w:rsidP="00360E6A">
            <w:pPr>
              <w:jc w:val="center"/>
              <w:rPr>
                <w:rFonts w:ascii="Times New Roman" w:hAnsi="Times New Roman" w:cs="Times New Roman"/>
                <w:b/>
                <w:bCs/>
                <w:sz w:val="24"/>
                <w:szCs w:val="24"/>
              </w:rPr>
            </w:pPr>
          </w:p>
        </w:tc>
      </w:tr>
      <w:tr w:rsidR="00360E6A" w:rsidRPr="00A46DC3" w14:paraId="4DD76655" w14:textId="77777777" w:rsidTr="00EA1655">
        <w:tc>
          <w:tcPr>
            <w:tcW w:w="846" w:type="dxa"/>
          </w:tcPr>
          <w:p w14:paraId="0E53AE2E" w14:textId="6D9BCE3A" w:rsidR="00360E6A" w:rsidRPr="00A46DC3" w:rsidRDefault="00360E6A" w:rsidP="00360E6A">
            <w:pPr>
              <w:jc w:val="center"/>
              <w:rPr>
                <w:rFonts w:ascii="Times New Roman" w:hAnsi="Times New Roman" w:cs="Times New Roman"/>
                <w:sz w:val="24"/>
                <w:szCs w:val="24"/>
              </w:rPr>
            </w:pPr>
            <w:r w:rsidRPr="00A46DC3">
              <w:rPr>
                <w:rFonts w:ascii="Times New Roman" w:hAnsi="Times New Roman" w:cs="Times New Roman"/>
                <w:sz w:val="24"/>
                <w:szCs w:val="24"/>
              </w:rPr>
              <w:t>4.1</w:t>
            </w:r>
            <w:r w:rsidR="00162B7C" w:rsidRPr="00A46DC3">
              <w:rPr>
                <w:rFonts w:ascii="Times New Roman" w:hAnsi="Times New Roman" w:cs="Times New Roman"/>
                <w:sz w:val="24"/>
                <w:szCs w:val="24"/>
              </w:rPr>
              <w:t>3</w:t>
            </w:r>
          </w:p>
        </w:tc>
        <w:tc>
          <w:tcPr>
            <w:tcW w:w="6804" w:type="dxa"/>
          </w:tcPr>
          <w:p w14:paraId="3B4DDC0D" w14:textId="353BD995" w:rsidR="00360E6A" w:rsidRPr="00A46DC3" w:rsidRDefault="00EA18B9" w:rsidP="00360E6A">
            <w:pPr>
              <w:rPr>
                <w:rFonts w:ascii="Times New Roman" w:hAnsi="Times New Roman" w:cs="Times New Roman"/>
                <w:sz w:val="24"/>
                <w:szCs w:val="24"/>
              </w:rPr>
            </w:pPr>
            <w:r w:rsidRPr="00A46DC3">
              <w:rPr>
                <w:rFonts w:ascii="Times New Roman" w:hAnsi="Times New Roman" w:cs="Times New Roman"/>
                <w:sz w:val="24"/>
                <w:szCs w:val="24"/>
              </w:rPr>
              <w:t>Table showing the Mean, Standard Deviation and Coefficient of Variation for Gross NPA and Net NPA of Federal Bank, State Bank of India and HDFC Bank</w:t>
            </w:r>
          </w:p>
        </w:tc>
        <w:tc>
          <w:tcPr>
            <w:tcW w:w="1366" w:type="dxa"/>
          </w:tcPr>
          <w:p w14:paraId="34FFA12F" w14:textId="77777777" w:rsidR="00360E6A" w:rsidRPr="00A46DC3" w:rsidRDefault="00360E6A" w:rsidP="00360E6A">
            <w:pPr>
              <w:jc w:val="center"/>
              <w:rPr>
                <w:rFonts w:ascii="Times New Roman" w:hAnsi="Times New Roman" w:cs="Times New Roman"/>
                <w:b/>
                <w:bCs/>
                <w:sz w:val="24"/>
                <w:szCs w:val="24"/>
              </w:rPr>
            </w:pPr>
          </w:p>
        </w:tc>
      </w:tr>
    </w:tbl>
    <w:p w14:paraId="07746BBA" w14:textId="43258195" w:rsidR="00A05F37" w:rsidRPr="00A46DC3" w:rsidRDefault="00A05F37" w:rsidP="003D7D19">
      <w:pPr>
        <w:rPr>
          <w:rFonts w:ascii="Times New Roman" w:hAnsi="Times New Roman" w:cs="Times New Roman"/>
          <w:sz w:val="24"/>
          <w:szCs w:val="24"/>
        </w:rPr>
      </w:pPr>
    </w:p>
    <w:p w14:paraId="1F449C35" w14:textId="77777777" w:rsidR="00A05F37" w:rsidRPr="00A46DC3" w:rsidRDefault="00A05F37" w:rsidP="007C2B7D">
      <w:pPr>
        <w:jc w:val="center"/>
        <w:rPr>
          <w:rFonts w:ascii="Times New Roman" w:hAnsi="Times New Roman" w:cs="Times New Roman"/>
          <w:b/>
          <w:bCs/>
          <w:sz w:val="24"/>
          <w:szCs w:val="24"/>
        </w:rPr>
      </w:pPr>
    </w:p>
    <w:p w14:paraId="76C39FA5" w14:textId="77777777" w:rsidR="005A4A63" w:rsidRPr="00A46DC3" w:rsidRDefault="005A4A63" w:rsidP="007C2B7D">
      <w:pPr>
        <w:jc w:val="center"/>
        <w:rPr>
          <w:rFonts w:ascii="Times New Roman" w:hAnsi="Times New Roman" w:cs="Times New Roman"/>
          <w:b/>
          <w:bCs/>
          <w:sz w:val="24"/>
          <w:szCs w:val="24"/>
        </w:rPr>
      </w:pPr>
    </w:p>
    <w:p w14:paraId="5D3E531F" w14:textId="77777777" w:rsidR="005A4A63" w:rsidRPr="00A46DC3" w:rsidRDefault="005A4A63" w:rsidP="007C2B7D">
      <w:pPr>
        <w:jc w:val="center"/>
        <w:rPr>
          <w:rFonts w:ascii="Times New Roman" w:hAnsi="Times New Roman" w:cs="Times New Roman"/>
          <w:b/>
          <w:bCs/>
          <w:sz w:val="24"/>
          <w:szCs w:val="24"/>
        </w:rPr>
      </w:pPr>
    </w:p>
    <w:p w14:paraId="2EFAAAF0" w14:textId="77777777" w:rsidR="005A4A63" w:rsidRPr="00A46DC3" w:rsidRDefault="005A4A63" w:rsidP="007C2B7D">
      <w:pPr>
        <w:jc w:val="center"/>
        <w:rPr>
          <w:rFonts w:ascii="Times New Roman" w:hAnsi="Times New Roman" w:cs="Times New Roman"/>
          <w:b/>
          <w:bCs/>
          <w:sz w:val="24"/>
          <w:szCs w:val="24"/>
        </w:rPr>
      </w:pPr>
    </w:p>
    <w:p w14:paraId="021BB0FD" w14:textId="77777777" w:rsidR="005A4A63" w:rsidRPr="00A46DC3" w:rsidRDefault="005A4A63" w:rsidP="007C2B7D">
      <w:pPr>
        <w:jc w:val="center"/>
        <w:rPr>
          <w:rFonts w:ascii="Times New Roman" w:hAnsi="Times New Roman" w:cs="Times New Roman"/>
          <w:b/>
          <w:bCs/>
          <w:sz w:val="24"/>
          <w:szCs w:val="24"/>
        </w:rPr>
      </w:pPr>
    </w:p>
    <w:p w14:paraId="671E1049" w14:textId="77777777" w:rsidR="005A4A63" w:rsidRPr="00A46DC3" w:rsidRDefault="005A4A63" w:rsidP="007C2B7D">
      <w:pPr>
        <w:jc w:val="center"/>
        <w:rPr>
          <w:rFonts w:ascii="Times New Roman" w:hAnsi="Times New Roman" w:cs="Times New Roman"/>
          <w:b/>
          <w:bCs/>
          <w:sz w:val="24"/>
          <w:szCs w:val="24"/>
        </w:rPr>
      </w:pPr>
    </w:p>
    <w:p w14:paraId="1683E64C" w14:textId="77777777" w:rsidR="005A4A63" w:rsidRPr="00A46DC3" w:rsidRDefault="005A4A63" w:rsidP="007C2B7D">
      <w:pPr>
        <w:jc w:val="center"/>
        <w:rPr>
          <w:rFonts w:ascii="Times New Roman" w:hAnsi="Times New Roman" w:cs="Times New Roman"/>
          <w:b/>
          <w:bCs/>
          <w:sz w:val="24"/>
          <w:szCs w:val="24"/>
        </w:rPr>
      </w:pPr>
    </w:p>
    <w:p w14:paraId="32F91C3A" w14:textId="77777777" w:rsidR="005A4A63" w:rsidRPr="00A46DC3" w:rsidRDefault="005A4A63" w:rsidP="007C2B7D">
      <w:pPr>
        <w:jc w:val="center"/>
        <w:rPr>
          <w:rFonts w:ascii="Times New Roman" w:hAnsi="Times New Roman" w:cs="Times New Roman"/>
          <w:b/>
          <w:bCs/>
          <w:sz w:val="24"/>
          <w:szCs w:val="24"/>
        </w:rPr>
      </w:pPr>
    </w:p>
    <w:p w14:paraId="784BD41B" w14:textId="77777777" w:rsidR="005A4A63" w:rsidRPr="00A46DC3" w:rsidRDefault="005A4A63" w:rsidP="007C2B7D">
      <w:pPr>
        <w:jc w:val="center"/>
        <w:rPr>
          <w:rFonts w:ascii="Times New Roman" w:hAnsi="Times New Roman" w:cs="Times New Roman"/>
          <w:b/>
          <w:bCs/>
          <w:sz w:val="24"/>
          <w:szCs w:val="24"/>
        </w:rPr>
      </w:pPr>
    </w:p>
    <w:p w14:paraId="121CDFF6" w14:textId="77777777" w:rsidR="005A4A63" w:rsidRPr="00A46DC3" w:rsidRDefault="005A4A63" w:rsidP="007C2B7D">
      <w:pPr>
        <w:jc w:val="center"/>
        <w:rPr>
          <w:rFonts w:ascii="Times New Roman" w:hAnsi="Times New Roman" w:cs="Times New Roman"/>
          <w:b/>
          <w:bCs/>
          <w:sz w:val="24"/>
          <w:szCs w:val="24"/>
        </w:rPr>
      </w:pPr>
    </w:p>
    <w:p w14:paraId="44355C1D" w14:textId="77777777" w:rsidR="005A4A63" w:rsidRPr="00A46DC3" w:rsidRDefault="005A4A63" w:rsidP="007C2B7D">
      <w:pPr>
        <w:jc w:val="center"/>
        <w:rPr>
          <w:rFonts w:ascii="Times New Roman" w:hAnsi="Times New Roman" w:cs="Times New Roman"/>
          <w:b/>
          <w:bCs/>
          <w:sz w:val="24"/>
          <w:szCs w:val="24"/>
        </w:rPr>
      </w:pPr>
    </w:p>
    <w:p w14:paraId="59E6A081" w14:textId="77777777" w:rsidR="005A4A63" w:rsidRPr="00A46DC3" w:rsidRDefault="005A4A63" w:rsidP="007835F2">
      <w:pPr>
        <w:rPr>
          <w:rFonts w:ascii="Times New Roman" w:hAnsi="Times New Roman" w:cs="Times New Roman"/>
          <w:b/>
          <w:bCs/>
          <w:sz w:val="24"/>
          <w:szCs w:val="24"/>
        </w:rPr>
      </w:pPr>
    </w:p>
    <w:p w14:paraId="2D6E4F29" w14:textId="77777777" w:rsidR="007835F2" w:rsidRPr="00A46DC3" w:rsidRDefault="007835F2" w:rsidP="007835F2">
      <w:pPr>
        <w:rPr>
          <w:rFonts w:ascii="Times New Roman" w:hAnsi="Times New Roman" w:cs="Times New Roman"/>
          <w:b/>
          <w:bCs/>
          <w:sz w:val="24"/>
          <w:szCs w:val="24"/>
        </w:rPr>
      </w:pPr>
    </w:p>
    <w:p w14:paraId="783351CD" w14:textId="77777777" w:rsidR="005A4A63" w:rsidRPr="00A46DC3" w:rsidRDefault="005A4A63" w:rsidP="007C2B7D">
      <w:pPr>
        <w:jc w:val="center"/>
        <w:rPr>
          <w:rFonts w:ascii="Times New Roman" w:hAnsi="Times New Roman" w:cs="Times New Roman"/>
          <w:b/>
          <w:bCs/>
          <w:sz w:val="24"/>
          <w:szCs w:val="24"/>
        </w:rPr>
      </w:pPr>
    </w:p>
    <w:p w14:paraId="2AAFA3FD" w14:textId="77777777" w:rsidR="00EA1655" w:rsidRPr="00A46DC3" w:rsidRDefault="00EA1655" w:rsidP="005A4A63">
      <w:pPr>
        <w:jc w:val="center"/>
        <w:rPr>
          <w:rFonts w:ascii="Times New Roman" w:hAnsi="Times New Roman" w:cs="Times New Roman"/>
          <w:b/>
          <w:bCs/>
          <w:sz w:val="24"/>
          <w:szCs w:val="24"/>
        </w:rPr>
      </w:pPr>
    </w:p>
    <w:p w14:paraId="511DF12E" w14:textId="77777777" w:rsidR="00EA1655" w:rsidRPr="00A46DC3" w:rsidRDefault="00EA1655" w:rsidP="005A4A63">
      <w:pPr>
        <w:jc w:val="center"/>
        <w:rPr>
          <w:rFonts w:ascii="Times New Roman" w:hAnsi="Times New Roman" w:cs="Times New Roman"/>
          <w:b/>
          <w:bCs/>
          <w:sz w:val="24"/>
          <w:szCs w:val="24"/>
        </w:rPr>
      </w:pPr>
    </w:p>
    <w:p w14:paraId="651852C0" w14:textId="3441AF45" w:rsidR="005A4A63" w:rsidRPr="00A46DC3" w:rsidRDefault="005A4A63" w:rsidP="005A4A63">
      <w:pPr>
        <w:jc w:val="center"/>
        <w:rPr>
          <w:rFonts w:ascii="Times New Roman" w:hAnsi="Times New Roman" w:cs="Times New Roman"/>
          <w:b/>
          <w:bCs/>
          <w:sz w:val="24"/>
          <w:szCs w:val="24"/>
        </w:rPr>
      </w:pPr>
      <w:r w:rsidRPr="00A46DC3">
        <w:rPr>
          <w:rFonts w:ascii="Times New Roman" w:hAnsi="Times New Roman" w:cs="Times New Roman"/>
          <w:b/>
          <w:bCs/>
          <w:sz w:val="24"/>
          <w:szCs w:val="24"/>
        </w:rPr>
        <w:lastRenderedPageBreak/>
        <w:t xml:space="preserve">LIST OF </w:t>
      </w:r>
      <w:r w:rsidR="00EA1655" w:rsidRPr="00A46DC3">
        <w:rPr>
          <w:rFonts w:ascii="Times New Roman" w:hAnsi="Times New Roman" w:cs="Times New Roman"/>
          <w:b/>
          <w:bCs/>
          <w:sz w:val="24"/>
          <w:szCs w:val="24"/>
        </w:rPr>
        <w:t>FIGURES</w:t>
      </w:r>
    </w:p>
    <w:tbl>
      <w:tblPr>
        <w:tblStyle w:val="TableGrid"/>
        <w:tblW w:w="0" w:type="auto"/>
        <w:tblLook w:val="04A0" w:firstRow="1" w:lastRow="0" w:firstColumn="1" w:lastColumn="0" w:noHBand="0" w:noVBand="1"/>
      </w:tblPr>
      <w:tblGrid>
        <w:gridCol w:w="846"/>
        <w:gridCol w:w="6804"/>
        <w:gridCol w:w="1366"/>
      </w:tblGrid>
      <w:tr w:rsidR="007835F2" w:rsidRPr="00A46DC3" w14:paraId="6ACCD46C" w14:textId="77777777" w:rsidTr="00EA1655">
        <w:trPr>
          <w:trHeight w:val="621"/>
        </w:trPr>
        <w:tc>
          <w:tcPr>
            <w:tcW w:w="846" w:type="dxa"/>
          </w:tcPr>
          <w:p w14:paraId="51EA2590" w14:textId="77777777" w:rsidR="007835F2" w:rsidRPr="00A46DC3" w:rsidRDefault="007835F2"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SI. No.</w:t>
            </w:r>
          </w:p>
        </w:tc>
        <w:tc>
          <w:tcPr>
            <w:tcW w:w="6804" w:type="dxa"/>
          </w:tcPr>
          <w:p w14:paraId="1EAFEEF7" w14:textId="77777777" w:rsidR="007835F2" w:rsidRPr="00A46DC3" w:rsidRDefault="007835F2"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Particulars</w:t>
            </w:r>
          </w:p>
        </w:tc>
        <w:tc>
          <w:tcPr>
            <w:tcW w:w="1366" w:type="dxa"/>
          </w:tcPr>
          <w:p w14:paraId="5E6F318D" w14:textId="77777777" w:rsidR="007835F2" w:rsidRPr="00A46DC3" w:rsidRDefault="007835F2" w:rsidP="00EA1655">
            <w:pPr>
              <w:jc w:val="center"/>
              <w:rPr>
                <w:rFonts w:ascii="Times New Roman" w:hAnsi="Times New Roman" w:cs="Times New Roman"/>
                <w:b/>
                <w:bCs/>
                <w:sz w:val="24"/>
                <w:szCs w:val="24"/>
              </w:rPr>
            </w:pPr>
            <w:r w:rsidRPr="00A46DC3">
              <w:rPr>
                <w:rFonts w:ascii="Times New Roman" w:hAnsi="Times New Roman" w:cs="Times New Roman"/>
                <w:b/>
                <w:bCs/>
                <w:sz w:val="24"/>
                <w:szCs w:val="24"/>
              </w:rPr>
              <w:t>Page No.</w:t>
            </w:r>
          </w:p>
        </w:tc>
      </w:tr>
      <w:tr w:rsidR="007835F2" w:rsidRPr="00A46DC3" w14:paraId="73F34D88" w14:textId="77777777" w:rsidTr="00EA1655">
        <w:tc>
          <w:tcPr>
            <w:tcW w:w="846" w:type="dxa"/>
          </w:tcPr>
          <w:p w14:paraId="4EFE2A25"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4.1</w:t>
            </w:r>
          </w:p>
        </w:tc>
        <w:tc>
          <w:tcPr>
            <w:tcW w:w="6804" w:type="dxa"/>
          </w:tcPr>
          <w:p w14:paraId="07A3B179"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Net NPA Ratio of Federal Bank</w:t>
            </w:r>
          </w:p>
        </w:tc>
        <w:tc>
          <w:tcPr>
            <w:tcW w:w="1366" w:type="dxa"/>
          </w:tcPr>
          <w:p w14:paraId="2DDC353E"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0E26F349" w14:textId="77777777" w:rsidTr="00EA1655">
        <w:tc>
          <w:tcPr>
            <w:tcW w:w="846" w:type="dxa"/>
          </w:tcPr>
          <w:p w14:paraId="57F25B95"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4.2</w:t>
            </w:r>
          </w:p>
        </w:tc>
        <w:tc>
          <w:tcPr>
            <w:tcW w:w="6804" w:type="dxa"/>
          </w:tcPr>
          <w:p w14:paraId="07B042AB"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Gross NPA Ratio of Federal Bank</w:t>
            </w:r>
          </w:p>
        </w:tc>
        <w:tc>
          <w:tcPr>
            <w:tcW w:w="1366" w:type="dxa"/>
          </w:tcPr>
          <w:p w14:paraId="0FFA3DF1"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74938833" w14:textId="77777777" w:rsidTr="00EA1655">
        <w:tc>
          <w:tcPr>
            <w:tcW w:w="846" w:type="dxa"/>
          </w:tcPr>
          <w:p w14:paraId="074FFBDC"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4.3</w:t>
            </w:r>
          </w:p>
        </w:tc>
        <w:tc>
          <w:tcPr>
            <w:tcW w:w="6804" w:type="dxa"/>
          </w:tcPr>
          <w:p w14:paraId="227DCD36"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Capital Adequacy Ratio of Federal Bank</w:t>
            </w:r>
          </w:p>
        </w:tc>
        <w:tc>
          <w:tcPr>
            <w:tcW w:w="1366" w:type="dxa"/>
          </w:tcPr>
          <w:p w14:paraId="4F36637D"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6C4A212B" w14:textId="77777777" w:rsidTr="00EA1655">
        <w:tc>
          <w:tcPr>
            <w:tcW w:w="846" w:type="dxa"/>
          </w:tcPr>
          <w:p w14:paraId="5ADD0BE7"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4.4</w:t>
            </w:r>
          </w:p>
        </w:tc>
        <w:tc>
          <w:tcPr>
            <w:tcW w:w="6804" w:type="dxa"/>
          </w:tcPr>
          <w:p w14:paraId="6D1E9507"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Federal Bank</w:t>
            </w:r>
          </w:p>
        </w:tc>
        <w:tc>
          <w:tcPr>
            <w:tcW w:w="1366" w:type="dxa"/>
          </w:tcPr>
          <w:p w14:paraId="49480DE7"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05A4E1FC" w14:textId="77777777" w:rsidTr="00EA1655">
        <w:tc>
          <w:tcPr>
            <w:tcW w:w="846" w:type="dxa"/>
          </w:tcPr>
          <w:p w14:paraId="72E76F0C"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4.5</w:t>
            </w:r>
          </w:p>
        </w:tc>
        <w:tc>
          <w:tcPr>
            <w:tcW w:w="6804" w:type="dxa"/>
          </w:tcPr>
          <w:p w14:paraId="339C0616"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Net NPA Ratio of State Bank of India</w:t>
            </w:r>
          </w:p>
        </w:tc>
        <w:tc>
          <w:tcPr>
            <w:tcW w:w="1366" w:type="dxa"/>
          </w:tcPr>
          <w:p w14:paraId="03A25509"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065E2BB5" w14:textId="77777777" w:rsidTr="00EA1655">
        <w:tc>
          <w:tcPr>
            <w:tcW w:w="846" w:type="dxa"/>
          </w:tcPr>
          <w:p w14:paraId="217E3E5D"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4.6</w:t>
            </w:r>
          </w:p>
        </w:tc>
        <w:tc>
          <w:tcPr>
            <w:tcW w:w="6804" w:type="dxa"/>
          </w:tcPr>
          <w:p w14:paraId="032B4A02"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Gross NPA Ratio of State Bank of India</w:t>
            </w:r>
          </w:p>
        </w:tc>
        <w:tc>
          <w:tcPr>
            <w:tcW w:w="1366" w:type="dxa"/>
          </w:tcPr>
          <w:p w14:paraId="2EC2E87F"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6F4FB1AF" w14:textId="77777777" w:rsidTr="00EA1655">
        <w:tc>
          <w:tcPr>
            <w:tcW w:w="846" w:type="dxa"/>
          </w:tcPr>
          <w:p w14:paraId="65BF6185"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4.7</w:t>
            </w:r>
          </w:p>
        </w:tc>
        <w:tc>
          <w:tcPr>
            <w:tcW w:w="6804" w:type="dxa"/>
          </w:tcPr>
          <w:p w14:paraId="7A0D0FF1"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Capital Adequacy Ratio of State Bank of India</w:t>
            </w:r>
          </w:p>
        </w:tc>
        <w:tc>
          <w:tcPr>
            <w:tcW w:w="1366" w:type="dxa"/>
          </w:tcPr>
          <w:p w14:paraId="62298E94"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5E8BA1E9" w14:textId="77777777" w:rsidTr="00EA1655">
        <w:tc>
          <w:tcPr>
            <w:tcW w:w="846" w:type="dxa"/>
          </w:tcPr>
          <w:p w14:paraId="5F607252"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4.8</w:t>
            </w:r>
          </w:p>
        </w:tc>
        <w:tc>
          <w:tcPr>
            <w:tcW w:w="6804" w:type="dxa"/>
          </w:tcPr>
          <w:p w14:paraId="120E956C"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State Bank of India</w:t>
            </w:r>
          </w:p>
        </w:tc>
        <w:tc>
          <w:tcPr>
            <w:tcW w:w="1366" w:type="dxa"/>
          </w:tcPr>
          <w:p w14:paraId="54871DB6"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2364BD09" w14:textId="77777777" w:rsidTr="00EA1655">
        <w:tc>
          <w:tcPr>
            <w:tcW w:w="846" w:type="dxa"/>
          </w:tcPr>
          <w:p w14:paraId="2DCF5CD5"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4.9</w:t>
            </w:r>
          </w:p>
        </w:tc>
        <w:tc>
          <w:tcPr>
            <w:tcW w:w="6804" w:type="dxa"/>
          </w:tcPr>
          <w:p w14:paraId="07293485"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Net NPA Ratio of HDFC Bank</w:t>
            </w:r>
          </w:p>
        </w:tc>
        <w:tc>
          <w:tcPr>
            <w:tcW w:w="1366" w:type="dxa"/>
          </w:tcPr>
          <w:p w14:paraId="52D07D53"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307F5D83" w14:textId="77777777" w:rsidTr="00EA1655">
        <w:tc>
          <w:tcPr>
            <w:tcW w:w="846" w:type="dxa"/>
          </w:tcPr>
          <w:p w14:paraId="6AB4BA9D"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4.10</w:t>
            </w:r>
          </w:p>
        </w:tc>
        <w:tc>
          <w:tcPr>
            <w:tcW w:w="6804" w:type="dxa"/>
          </w:tcPr>
          <w:p w14:paraId="326809A7"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Gross NPA Ratio of HDFC Bank</w:t>
            </w:r>
          </w:p>
        </w:tc>
        <w:tc>
          <w:tcPr>
            <w:tcW w:w="1366" w:type="dxa"/>
          </w:tcPr>
          <w:p w14:paraId="5C4725BB"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6453EF13" w14:textId="77777777" w:rsidTr="00EA1655">
        <w:tc>
          <w:tcPr>
            <w:tcW w:w="846" w:type="dxa"/>
          </w:tcPr>
          <w:p w14:paraId="2133379E"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4.11</w:t>
            </w:r>
          </w:p>
        </w:tc>
        <w:tc>
          <w:tcPr>
            <w:tcW w:w="6804" w:type="dxa"/>
          </w:tcPr>
          <w:p w14:paraId="44E977BF"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Capital Adequacy Ratio of HDFC Bank</w:t>
            </w:r>
          </w:p>
        </w:tc>
        <w:tc>
          <w:tcPr>
            <w:tcW w:w="1366" w:type="dxa"/>
          </w:tcPr>
          <w:p w14:paraId="4BA3C1F0" w14:textId="77777777" w:rsidR="007835F2" w:rsidRPr="00A46DC3" w:rsidRDefault="007835F2" w:rsidP="00EA1655">
            <w:pPr>
              <w:jc w:val="center"/>
              <w:rPr>
                <w:rFonts w:ascii="Times New Roman" w:hAnsi="Times New Roman" w:cs="Times New Roman"/>
                <w:b/>
                <w:bCs/>
                <w:sz w:val="24"/>
                <w:szCs w:val="24"/>
              </w:rPr>
            </w:pPr>
          </w:p>
        </w:tc>
      </w:tr>
      <w:tr w:rsidR="007835F2" w:rsidRPr="00A46DC3" w14:paraId="16CA5196" w14:textId="77777777" w:rsidTr="00EA1655">
        <w:tc>
          <w:tcPr>
            <w:tcW w:w="846" w:type="dxa"/>
          </w:tcPr>
          <w:p w14:paraId="03079269" w14:textId="77777777" w:rsidR="007835F2" w:rsidRPr="00A46DC3" w:rsidRDefault="007835F2" w:rsidP="00EA1655">
            <w:pPr>
              <w:jc w:val="center"/>
              <w:rPr>
                <w:rFonts w:ascii="Times New Roman" w:hAnsi="Times New Roman" w:cs="Times New Roman"/>
                <w:sz w:val="24"/>
                <w:szCs w:val="24"/>
              </w:rPr>
            </w:pPr>
            <w:r w:rsidRPr="00A46DC3">
              <w:rPr>
                <w:rFonts w:ascii="Times New Roman" w:hAnsi="Times New Roman" w:cs="Times New Roman"/>
                <w:sz w:val="24"/>
                <w:szCs w:val="24"/>
              </w:rPr>
              <w:t>4.12</w:t>
            </w:r>
          </w:p>
        </w:tc>
        <w:tc>
          <w:tcPr>
            <w:tcW w:w="6804" w:type="dxa"/>
          </w:tcPr>
          <w:p w14:paraId="548865D7" w14:textId="77777777" w:rsidR="007835F2" w:rsidRPr="00A46DC3" w:rsidRDefault="007835F2" w:rsidP="00EA1655">
            <w:pPr>
              <w:rPr>
                <w:rFonts w:ascii="Times New Roman" w:hAnsi="Times New Roman" w:cs="Times New Roman"/>
                <w:sz w:val="24"/>
                <w:szCs w:val="24"/>
              </w:rPr>
            </w:pPr>
            <w:r w:rsidRPr="00A46DC3">
              <w:rPr>
                <w:rFonts w:ascii="Times New Roman" w:hAnsi="Times New Roman" w:cs="Times New Roman"/>
                <w:sz w:val="24"/>
                <w:szCs w:val="24"/>
              </w:rPr>
              <w:t>Showing the comparison of Gross NPA and Net NPA of HDFC Bank</w:t>
            </w:r>
          </w:p>
        </w:tc>
        <w:tc>
          <w:tcPr>
            <w:tcW w:w="1366" w:type="dxa"/>
          </w:tcPr>
          <w:p w14:paraId="0FB7BC95" w14:textId="77777777" w:rsidR="007835F2" w:rsidRPr="00A46DC3" w:rsidRDefault="007835F2" w:rsidP="00EA1655">
            <w:pPr>
              <w:jc w:val="center"/>
              <w:rPr>
                <w:rFonts w:ascii="Times New Roman" w:hAnsi="Times New Roman" w:cs="Times New Roman"/>
                <w:b/>
                <w:bCs/>
                <w:sz w:val="24"/>
                <w:szCs w:val="24"/>
              </w:rPr>
            </w:pPr>
          </w:p>
        </w:tc>
      </w:tr>
    </w:tbl>
    <w:p w14:paraId="160E94B6" w14:textId="77777777" w:rsidR="00A05F37" w:rsidRPr="00A46DC3" w:rsidRDefault="00A05F37" w:rsidP="007835F2">
      <w:pPr>
        <w:rPr>
          <w:rFonts w:ascii="Times New Roman" w:hAnsi="Times New Roman" w:cs="Times New Roman"/>
          <w:b/>
          <w:bCs/>
          <w:sz w:val="24"/>
          <w:szCs w:val="24"/>
        </w:rPr>
      </w:pPr>
    </w:p>
    <w:p w14:paraId="6B96DC62" w14:textId="77777777" w:rsidR="00A05F37" w:rsidRPr="00A46DC3" w:rsidRDefault="00A05F37" w:rsidP="007C2B7D">
      <w:pPr>
        <w:jc w:val="center"/>
        <w:rPr>
          <w:rFonts w:ascii="Times New Roman" w:hAnsi="Times New Roman" w:cs="Times New Roman"/>
          <w:b/>
          <w:bCs/>
          <w:sz w:val="24"/>
          <w:szCs w:val="24"/>
        </w:rPr>
      </w:pPr>
    </w:p>
    <w:p w14:paraId="0D218A73" w14:textId="77777777" w:rsidR="00A05F37" w:rsidRPr="00A46DC3" w:rsidRDefault="00A05F37" w:rsidP="007C2B7D">
      <w:pPr>
        <w:jc w:val="center"/>
        <w:rPr>
          <w:rFonts w:ascii="Times New Roman" w:hAnsi="Times New Roman" w:cs="Times New Roman"/>
          <w:b/>
          <w:bCs/>
          <w:sz w:val="24"/>
          <w:szCs w:val="24"/>
        </w:rPr>
      </w:pPr>
    </w:p>
    <w:p w14:paraId="6FC44F7B" w14:textId="77777777" w:rsidR="00A05F37" w:rsidRPr="00A46DC3" w:rsidRDefault="00A05F37" w:rsidP="007C2B7D">
      <w:pPr>
        <w:jc w:val="center"/>
        <w:rPr>
          <w:rFonts w:ascii="Times New Roman" w:hAnsi="Times New Roman" w:cs="Times New Roman"/>
          <w:b/>
          <w:bCs/>
          <w:sz w:val="24"/>
          <w:szCs w:val="24"/>
        </w:rPr>
      </w:pPr>
    </w:p>
    <w:p w14:paraId="3CAB5DF2" w14:textId="77777777" w:rsidR="00A05F37" w:rsidRPr="00A46DC3" w:rsidRDefault="00A05F37" w:rsidP="007C2B7D">
      <w:pPr>
        <w:jc w:val="center"/>
        <w:rPr>
          <w:rFonts w:ascii="Times New Roman" w:hAnsi="Times New Roman" w:cs="Times New Roman"/>
          <w:b/>
          <w:bCs/>
          <w:sz w:val="24"/>
          <w:szCs w:val="24"/>
        </w:rPr>
      </w:pPr>
    </w:p>
    <w:p w14:paraId="4CE689EB" w14:textId="77777777" w:rsidR="00A05F37" w:rsidRPr="00A46DC3" w:rsidRDefault="00A05F37" w:rsidP="007C2B7D">
      <w:pPr>
        <w:jc w:val="center"/>
        <w:rPr>
          <w:rFonts w:ascii="Times New Roman" w:hAnsi="Times New Roman" w:cs="Times New Roman"/>
          <w:b/>
          <w:bCs/>
          <w:sz w:val="24"/>
          <w:szCs w:val="24"/>
        </w:rPr>
      </w:pPr>
    </w:p>
    <w:p w14:paraId="6951861F" w14:textId="77777777" w:rsidR="00A05F37" w:rsidRPr="00A46DC3" w:rsidRDefault="00A05F37" w:rsidP="007C2B7D">
      <w:pPr>
        <w:jc w:val="center"/>
        <w:rPr>
          <w:rFonts w:ascii="Times New Roman" w:hAnsi="Times New Roman" w:cs="Times New Roman"/>
          <w:b/>
          <w:bCs/>
          <w:sz w:val="24"/>
          <w:szCs w:val="24"/>
        </w:rPr>
      </w:pPr>
    </w:p>
    <w:p w14:paraId="6A156C7A" w14:textId="77777777" w:rsidR="00A05F37" w:rsidRPr="00A46DC3" w:rsidRDefault="00A05F37" w:rsidP="007C2B7D">
      <w:pPr>
        <w:jc w:val="center"/>
        <w:rPr>
          <w:rFonts w:ascii="Times New Roman" w:hAnsi="Times New Roman" w:cs="Times New Roman"/>
          <w:b/>
          <w:bCs/>
          <w:sz w:val="24"/>
          <w:szCs w:val="24"/>
        </w:rPr>
      </w:pPr>
    </w:p>
    <w:p w14:paraId="48A22706" w14:textId="77777777" w:rsidR="00A05F37" w:rsidRPr="00A46DC3" w:rsidRDefault="00A05F37" w:rsidP="007C2B7D">
      <w:pPr>
        <w:jc w:val="center"/>
        <w:rPr>
          <w:rFonts w:ascii="Times New Roman" w:hAnsi="Times New Roman" w:cs="Times New Roman"/>
          <w:b/>
          <w:bCs/>
          <w:sz w:val="24"/>
          <w:szCs w:val="24"/>
        </w:rPr>
      </w:pPr>
    </w:p>
    <w:p w14:paraId="539ECE58" w14:textId="77777777" w:rsidR="00A05F37" w:rsidRPr="00A46DC3" w:rsidRDefault="00A05F37" w:rsidP="007C2B7D">
      <w:pPr>
        <w:jc w:val="center"/>
        <w:rPr>
          <w:rFonts w:ascii="Times New Roman" w:hAnsi="Times New Roman" w:cs="Times New Roman"/>
          <w:b/>
          <w:bCs/>
          <w:sz w:val="24"/>
          <w:szCs w:val="24"/>
        </w:rPr>
      </w:pPr>
    </w:p>
    <w:p w14:paraId="6C5A703A" w14:textId="77777777" w:rsidR="00A05F37" w:rsidRPr="00A46DC3" w:rsidRDefault="00A05F37" w:rsidP="007C2B7D">
      <w:pPr>
        <w:jc w:val="center"/>
        <w:rPr>
          <w:rFonts w:ascii="Times New Roman" w:hAnsi="Times New Roman" w:cs="Times New Roman"/>
          <w:b/>
          <w:bCs/>
          <w:sz w:val="24"/>
          <w:szCs w:val="24"/>
        </w:rPr>
      </w:pPr>
    </w:p>
    <w:p w14:paraId="0425BD69" w14:textId="77777777" w:rsidR="00A05F37" w:rsidRPr="00A46DC3" w:rsidRDefault="00A05F37" w:rsidP="007C2B7D">
      <w:pPr>
        <w:jc w:val="center"/>
        <w:rPr>
          <w:rFonts w:ascii="Times New Roman" w:hAnsi="Times New Roman" w:cs="Times New Roman"/>
          <w:b/>
          <w:bCs/>
          <w:sz w:val="24"/>
          <w:szCs w:val="24"/>
        </w:rPr>
      </w:pPr>
    </w:p>
    <w:p w14:paraId="0C03A043" w14:textId="77777777" w:rsidR="0034648C" w:rsidRPr="00A46DC3" w:rsidRDefault="0034648C" w:rsidP="007C2B7D">
      <w:pPr>
        <w:jc w:val="center"/>
        <w:rPr>
          <w:rFonts w:ascii="Times New Roman" w:hAnsi="Times New Roman" w:cs="Times New Roman"/>
          <w:b/>
          <w:bCs/>
          <w:sz w:val="24"/>
          <w:szCs w:val="24"/>
        </w:rPr>
      </w:pPr>
    </w:p>
    <w:p w14:paraId="5EA1FBA1" w14:textId="77777777" w:rsidR="0034648C" w:rsidRPr="00A46DC3" w:rsidRDefault="0034648C" w:rsidP="000C1073">
      <w:pPr>
        <w:rPr>
          <w:rFonts w:ascii="Times New Roman" w:hAnsi="Times New Roman" w:cs="Times New Roman"/>
          <w:b/>
          <w:bCs/>
          <w:sz w:val="24"/>
          <w:szCs w:val="24"/>
        </w:rPr>
      </w:pPr>
    </w:p>
    <w:p w14:paraId="746F077A" w14:textId="77777777" w:rsidR="000C1073" w:rsidRPr="00A46DC3" w:rsidRDefault="000C1073" w:rsidP="000C1073">
      <w:pPr>
        <w:rPr>
          <w:rFonts w:ascii="Times New Roman" w:hAnsi="Times New Roman" w:cs="Times New Roman"/>
          <w:b/>
          <w:bCs/>
          <w:sz w:val="24"/>
          <w:szCs w:val="24"/>
        </w:rPr>
      </w:pPr>
    </w:p>
    <w:p w14:paraId="1DCAE58F" w14:textId="77777777" w:rsidR="0034648C" w:rsidRPr="00A46DC3" w:rsidRDefault="0034648C" w:rsidP="007C2B7D">
      <w:pPr>
        <w:jc w:val="center"/>
        <w:rPr>
          <w:rFonts w:ascii="Times New Roman" w:hAnsi="Times New Roman" w:cs="Times New Roman"/>
          <w:b/>
          <w:bCs/>
          <w:sz w:val="24"/>
          <w:szCs w:val="24"/>
        </w:rPr>
      </w:pPr>
    </w:p>
    <w:p w14:paraId="15852635" w14:textId="77777777" w:rsidR="0034648C" w:rsidRPr="00A46DC3" w:rsidRDefault="0034648C" w:rsidP="007C2B7D">
      <w:pPr>
        <w:jc w:val="center"/>
        <w:rPr>
          <w:rFonts w:ascii="Times New Roman" w:hAnsi="Times New Roman" w:cs="Times New Roman"/>
          <w:b/>
          <w:bCs/>
          <w:sz w:val="24"/>
          <w:szCs w:val="24"/>
        </w:rPr>
      </w:pPr>
    </w:p>
    <w:p w14:paraId="5A7C57C2" w14:textId="77777777" w:rsidR="0034648C" w:rsidRPr="00A46DC3" w:rsidRDefault="0034648C" w:rsidP="007C2B7D">
      <w:pPr>
        <w:jc w:val="center"/>
        <w:rPr>
          <w:rFonts w:ascii="Times New Roman" w:hAnsi="Times New Roman" w:cs="Times New Roman"/>
          <w:b/>
          <w:bCs/>
          <w:sz w:val="24"/>
          <w:szCs w:val="24"/>
        </w:rPr>
      </w:pPr>
    </w:p>
    <w:p w14:paraId="6B84C225" w14:textId="77777777" w:rsidR="005A4A63" w:rsidRPr="00A46DC3" w:rsidRDefault="005A4A63" w:rsidP="007C2B7D">
      <w:pPr>
        <w:jc w:val="center"/>
        <w:rPr>
          <w:rFonts w:ascii="Times New Roman" w:hAnsi="Times New Roman" w:cs="Times New Roman"/>
          <w:b/>
          <w:bCs/>
          <w:sz w:val="24"/>
          <w:szCs w:val="24"/>
        </w:rPr>
      </w:pPr>
    </w:p>
    <w:p w14:paraId="5B7C3966" w14:textId="77777777" w:rsidR="005A4A63" w:rsidRPr="00A46DC3" w:rsidRDefault="005A4A63" w:rsidP="007C2B7D">
      <w:pPr>
        <w:jc w:val="center"/>
        <w:rPr>
          <w:rFonts w:ascii="Times New Roman" w:hAnsi="Times New Roman" w:cs="Times New Roman"/>
          <w:b/>
          <w:bCs/>
          <w:sz w:val="24"/>
          <w:szCs w:val="24"/>
        </w:rPr>
      </w:pPr>
    </w:p>
    <w:p w14:paraId="4C97461C" w14:textId="77777777" w:rsidR="00B30DF2" w:rsidRPr="00A46DC3" w:rsidRDefault="00B30DF2" w:rsidP="007C2B7D">
      <w:pPr>
        <w:jc w:val="center"/>
        <w:rPr>
          <w:rFonts w:ascii="Times New Roman" w:hAnsi="Times New Roman" w:cs="Times New Roman"/>
          <w:b/>
          <w:bCs/>
          <w:sz w:val="24"/>
          <w:szCs w:val="24"/>
        </w:rPr>
      </w:pPr>
    </w:p>
    <w:p w14:paraId="03805682" w14:textId="77777777" w:rsidR="00B30DF2" w:rsidRPr="00A46DC3" w:rsidRDefault="00B30DF2" w:rsidP="007C2B7D">
      <w:pPr>
        <w:jc w:val="center"/>
        <w:rPr>
          <w:rFonts w:ascii="Times New Roman" w:hAnsi="Times New Roman" w:cs="Times New Roman"/>
          <w:b/>
          <w:bCs/>
          <w:sz w:val="24"/>
          <w:szCs w:val="24"/>
        </w:rPr>
      </w:pPr>
    </w:p>
    <w:p w14:paraId="64A09610" w14:textId="77777777" w:rsidR="00B30DF2" w:rsidRPr="00A46DC3" w:rsidRDefault="00B30DF2" w:rsidP="007C2B7D">
      <w:pPr>
        <w:jc w:val="center"/>
        <w:rPr>
          <w:rFonts w:ascii="Times New Roman" w:hAnsi="Times New Roman" w:cs="Times New Roman"/>
          <w:b/>
          <w:bCs/>
          <w:sz w:val="24"/>
          <w:szCs w:val="24"/>
        </w:rPr>
      </w:pPr>
    </w:p>
    <w:p w14:paraId="30786356" w14:textId="77777777" w:rsidR="00B30DF2" w:rsidRPr="00A46DC3" w:rsidRDefault="00B30DF2" w:rsidP="007C2B7D">
      <w:pPr>
        <w:jc w:val="center"/>
        <w:rPr>
          <w:rFonts w:ascii="Times New Roman" w:hAnsi="Times New Roman" w:cs="Times New Roman"/>
          <w:b/>
          <w:bCs/>
          <w:sz w:val="24"/>
          <w:szCs w:val="24"/>
        </w:rPr>
      </w:pPr>
    </w:p>
    <w:p w14:paraId="127BD6A6" w14:textId="77777777" w:rsidR="00B30DF2" w:rsidRPr="00A46DC3" w:rsidRDefault="00B30DF2" w:rsidP="007C2B7D">
      <w:pPr>
        <w:jc w:val="center"/>
        <w:rPr>
          <w:rFonts w:ascii="Times New Roman" w:hAnsi="Times New Roman" w:cs="Times New Roman"/>
          <w:b/>
          <w:bCs/>
          <w:sz w:val="24"/>
          <w:szCs w:val="24"/>
        </w:rPr>
      </w:pPr>
    </w:p>
    <w:p w14:paraId="268E6F50" w14:textId="77777777" w:rsidR="00B30DF2" w:rsidRPr="00A46DC3" w:rsidRDefault="00B30DF2" w:rsidP="007C2B7D">
      <w:pPr>
        <w:jc w:val="center"/>
        <w:rPr>
          <w:rFonts w:ascii="Times New Roman" w:hAnsi="Times New Roman" w:cs="Times New Roman"/>
          <w:b/>
          <w:bCs/>
          <w:sz w:val="24"/>
          <w:szCs w:val="24"/>
        </w:rPr>
      </w:pPr>
    </w:p>
    <w:p w14:paraId="5DE48114" w14:textId="77777777" w:rsidR="00B30DF2" w:rsidRPr="00A46DC3" w:rsidRDefault="00B30DF2" w:rsidP="007C2B7D">
      <w:pPr>
        <w:jc w:val="center"/>
        <w:rPr>
          <w:rFonts w:ascii="Times New Roman" w:hAnsi="Times New Roman" w:cs="Times New Roman"/>
          <w:b/>
          <w:bCs/>
          <w:sz w:val="24"/>
          <w:szCs w:val="24"/>
        </w:rPr>
      </w:pPr>
    </w:p>
    <w:p w14:paraId="7458BF5B" w14:textId="77777777" w:rsidR="00B30DF2" w:rsidRPr="00A46DC3" w:rsidRDefault="00B30DF2" w:rsidP="007C2B7D">
      <w:pPr>
        <w:jc w:val="center"/>
        <w:rPr>
          <w:rFonts w:ascii="Times New Roman" w:hAnsi="Times New Roman" w:cs="Times New Roman"/>
          <w:b/>
          <w:bCs/>
          <w:sz w:val="24"/>
          <w:szCs w:val="24"/>
        </w:rPr>
      </w:pPr>
    </w:p>
    <w:p w14:paraId="48DD7C1F" w14:textId="77777777" w:rsidR="00B30DF2" w:rsidRPr="00A46DC3" w:rsidRDefault="00B30DF2" w:rsidP="007C2B7D">
      <w:pPr>
        <w:jc w:val="center"/>
        <w:rPr>
          <w:rFonts w:ascii="Times New Roman" w:hAnsi="Times New Roman" w:cs="Times New Roman"/>
          <w:b/>
          <w:bCs/>
          <w:sz w:val="24"/>
          <w:szCs w:val="24"/>
        </w:rPr>
      </w:pPr>
    </w:p>
    <w:p w14:paraId="453CF2B3" w14:textId="77777777" w:rsidR="00B30DF2" w:rsidRPr="00A46DC3" w:rsidRDefault="00B30DF2" w:rsidP="007C2B7D">
      <w:pPr>
        <w:jc w:val="center"/>
        <w:rPr>
          <w:rFonts w:ascii="Times New Roman" w:hAnsi="Times New Roman" w:cs="Times New Roman"/>
          <w:b/>
          <w:bCs/>
          <w:sz w:val="24"/>
          <w:szCs w:val="24"/>
        </w:rPr>
      </w:pPr>
    </w:p>
    <w:p w14:paraId="4416E62B" w14:textId="77777777" w:rsidR="00B30DF2" w:rsidRPr="00A46DC3" w:rsidRDefault="00B30DF2" w:rsidP="007C2B7D">
      <w:pPr>
        <w:jc w:val="center"/>
        <w:rPr>
          <w:rFonts w:ascii="Times New Roman" w:hAnsi="Times New Roman" w:cs="Times New Roman"/>
          <w:b/>
          <w:bCs/>
          <w:sz w:val="24"/>
          <w:szCs w:val="24"/>
        </w:rPr>
      </w:pPr>
    </w:p>
    <w:p w14:paraId="57713CDB" w14:textId="77777777" w:rsidR="007446AB" w:rsidRPr="00A46DC3" w:rsidRDefault="007446AB" w:rsidP="007C2B7D">
      <w:pPr>
        <w:jc w:val="center"/>
        <w:rPr>
          <w:rFonts w:ascii="Times New Roman" w:hAnsi="Times New Roman" w:cs="Times New Roman"/>
          <w:b/>
          <w:bCs/>
          <w:sz w:val="24"/>
          <w:szCs w:val="24"/>
        </w:rPr>
      </w:pPr>
    </w:p>
    <w:p w14:paraId="48772826" w14:textId="7BE3AA3A" w:rsidR="007446AB" w:rsidRPr="00A46DC3" w:rsidRDefault="007446AB" w:rsidP="007C2B7D">
      <w:pPr>
        <w:jc w:val="center"/>
        <w:rPr>
          <w:rFonts w:ascii="Times New Roman" w:hAnsi="Times New Roman" w:cs="Times New Roman"/>
          <w:b/>
          <w:bCs/>
          <w:sz w:val="24"/>
          <w:szCs w:val="24"/>
        </w:rPr>
      </w:pPr>
      <w:r w:rsidRPr="00A46DC3">
        <w:rPr>
          <w:rFonts w:ascii="Times New Roman" w:hAnsi="Times New Roman" w:cs="Times New Roman"/>
          <w:b/>
          <w:bCs/>
          <w:sz w:val="24"/>
          <w:szCs w:val="24"/>
        </w:rPr>
        <w:t>CHAPTER 1:</w:t>
      </w:r>
      <w:r w:rsidR="00AA04DE" w:rsidRPr="00A46DC3">
        <w:rPr>
          <w:rFonts w:ascii="Times New Roman" w:hAnsi="Times New Roman" w:cs="Times New Roman"/>
          <w:b/>
          <w:bCs/>
          <w:sz w:val="24"/>
          <w:szCs w:val="24"/>
        </w:rPr>
        <w:t xml:space="preserve"> INTRODUCTION</w:t>
      </w:r>
    </w:p>
    <w:p w14:paraId="75C6629C" w14:textId="77777777" w:rsidR="0034648C" w:rsidRPr="00A46DC3" w:rsidRDefault="0034648C" w:rsidP="007C2B7D">
      <w:pPr>
        <w:jc w:val="center"/>
        <w:rPr>
          <w:rFonts w:ascii="Times New Roman" w:hAnsi="Times New Roman" w:cs="Times New Roman"/>
          <w:b/>
          <w:bCs/>
          <w:sz w:val="24"/>
          <w:szCs w:val="24"/>
        </w:rPr>
      </w:pPr>
    </w:p>
    <w:p w14:paraId="67E2563A" w14:textId="77777777" w:rsidR="0034648C" w:rsidRPr="00A46DC3" w:rsidRDefault="0034648C" w:rsidP="007C2B7D">
      <w:pPr>
        <w:jc w:val="center"/>
        <w:rPr>
          <w:rFonts w:ascii="Times New Roman" w:hAnsi="Times New Roman" w:cs="Times New Roman"/>
          <w:b/>
          <w:bCs/>
          <w:sz w:val="24"/>
          <w:szCs w:val="24"/>
        </w:rPr>
      </w:pPr>
    </w:p>
    <w:p w14:paraId="7C8C57F4" w14:textId="77777777" w:rsidR="0034648C" w:rsidRPr="00A46DC3" w:rsidRDefault="0034648C" w:rsidP="007C2B7D">
      <w:pPr>
        <w:jc w:val="center"/>
        <w:rPr>
          <w:rFonts w:ascii="Times New Roman" w:hAnsi="Times New Roman" w:cs="Times New Roman"/>
          <w:b/>
          <w:bCs/>
          <w:sz w:val="24"/>
          <w:szCs w:val="24"/>
        </w:rPr>
      </w:pPr>
    </w:p>
    <w:p w14:paraId="27CE85A6" w14:textId="77777777" w:rsidR="0034648C" w:rsidRPr="00A46DC3" w:rsidRDefault="0034648C" w:rsidP="007C2B7D">
      <w:pPr>
        <w:jc w:val="center"/>
        <w:rPr>
          <w:rFonts w:ascii="Times New Roman" w:hAnsi="Times New Roman" w:cs="Times New Roman"/>
          <w:b/>
          <w:bCs/>
          <w:sz w:val="24"/>
          <w:szCs w:val="24"/>
        </w:rPr>
      </w:pPr>
    </w:p>
    <w:p w14:paraId="013F6FB8" w14:textId="77777777" w:rsidR="0034648C" w:rsidRPr="00A46DC3" w:rsidRDefault="0034648C" w:rsidP="007C2B7D">
      <w:pPr>
        <w:jc w:val="center"/>
        <w:rPr>
          <w:rFonts w:ascii="Times New Roman" w:hAnsi="Times New Roman" w:cs="Times New Roman"/>
          <w:b/>
          <w:bCs/>
          <w:sz w:val="24"/>
          <w:szCs w:val="24"/>
        </w:rPr>
      </w:pPr>
    </w:p>
    <w:p w14:paraId="13025A6C" w14:textId="77777777" w:rsidR="0034648C" w:rsidRPr="00A46DC3" w:rsidRDefault="0034648C" w:rsidP="007C2B7D">
      <w:pPr>
        <w:jc w:val="center"/>
        <w:rPr>
          <w:rFonts w:ascii="Times New Roman" w:hAnsi="Times New Roman" w:cs="Times New Roman"/>
          <w:b/>
          <w:bCs/>
          <w:sz w:val="24"/>
          <w:szCs w:val="24"/>
        </w:rPr>
      </w:pPr>
    </w:p>
    <w:p w14:paraId="10B8B68C" w14:textId="77777777" w:rsidR="0034648C" w:rsidRPr="00A46DC3" w:rsidRDefault="0034648C" w:rsidP="007C2B7D">
      <w:pPr>
        <w:jc w:val="center"/>
        <w:rPr>
          <w:rFonts w:ascii="Times New Roman" w:hAnsi="Times New Roman" w:cs="Times New Roman"/>
          <w:b/>
          <w:bCs/>
          <w:sz w:val="24"/>
          <w:szCs w:val="24"/>
        </w:rPr>
      </w:pPr>
    </w:p>
    <w:p w14:paraId="3FD98D8D" w14:textId="77777777" w:rsidR="0034648C" w:rsidRPr="00A46DC3" w:rsidRDefault="0034648C" w:rsidP="007C2B7D">
      <w:pPr>
        <w:jc w:val="center"/>
        <w:rPr>
          <w:rFonts w:ascii="Times New Roman" w:hAnsi="Times New Roman" w:cs="Times New Roman"/>
          <w:b/>
          <w:bCs/>
          <w:sz w:val="24"/>
          <w:szCs w:val="24"/>
        </w:rPr>
      </w:pPr>
    </w:p>
    <w:p w14:paraId="74B18E8D" w14:textId="77777777" w:rsidR="0034648C" w:rsidRPr="00A46DC3" w:rsidRDefault="0034648C" w:rsidP="007C2B7D">
      <w:pPr>
        <w:jc w:val="center"/>
        <w:rPr>
          <w:rFonts w:ascii="Times New Roman" w:hAnsi="Times New Roman" w:cs="Times New Roman"/>
          <w:b/>
          <w:bCs/>
          <w:sz w:val="24"/>
          <w:szCs w:val="24"/>
        </w:rPr>
      </w:pPr>
    </w:p>
    <w:p w14:paraId="2679E030" w14:textId="77777777" w:rsidR="0034648C" w:rsidRPr="00A46DC3" w:rsidRDefault="0034648C" w:rsidP="00000DC0">
      <w:pPr>
        <w:rPr>
          <w:rFonts w:ascii="Times New Roman" w:hAnsi="Times New Roman" w:cs="Times New Roman"/>
          <w:b/>
          <w:bCs/>
          <w:sz w:val="24"/>
          <w:szCs w:val="24"/>
        </w:rPr>
      </w:pPr>
    </w:p>
    <w:p w14:paraId="79491D48" w14:textId="56EDCA20" w:rsidR="004B61FA" w:rsidRPr="00A46DC3" w:rsidRDefault="004B61FA" w:rsidP="00000DC0">
      <w:pPr>
        <w:rPr>
          <w:rFonts w:ascii="Times New Roman" w:hAnsi="Times New Roman" w:cs="Times New Roman"/>
          <w:b/>
          <w:bCs/>
          <w:sz w:val="24"/>
          <w:szCs w:val="24"/>
        </w:rPr>
      </w:pPr>
    </w:p>
    <w:p w14:paraId="7B700237" w14:textId="1311FAF5" w:rsidR="00EA1655" w:rsidRPr="00A46DC3" w:rsidRDefault="00EA1655" w:rsidP="00000DC0">
      <w:pPr>
        <w:rPr>
          <w:rFonts w:ascii="Times New Roman" w:hAnsi="Times New Roman" w:cs="Times New Roman"/>
          <w:b/>
          <w:bCs/>
          <w:sz w:val="24"/>
          <w:szCs w:val="24"/>
        </w:rPr>
      </w:pPr>
    </w:p>
    <w:p w14:paraId="33D54FF6" w14:textId="19696ABC" w:rsidR="00EA1655" w:rsidRPr="00A46DC3" w:rsidRDefault="00EA1655" w:rsidP="00000DC0">
      <w:pPr>
        <w:rPr>
          <w:rFonts w:ascii="Times New Roman" w:hAnsi="Times New Roman" w:cs="Times New Roman"/>
          <w:b/>
          <w:bCs/>
          <w:sz w:val="24"/>
          <w:szCs w:val="24"/>
        </w:rPr>
      </w:pPr>
    </w:p>
    <w:p w14:paraId="7C306404" w14:textId="77777777" w:rsidR="00EA1655" w:rsidRPr="00A46DC3" w:rsidRDefault="00EA1655" w:rsidP="00000DC0">
      <w:pPr>
        <w:rPr>
          <w:rFonts w:ascii="Times New Roman" w:hAnsi="Times New Roman" w:cs="Times New Roman"/>
          <w:b/>
          <w:bCs/>
          <w:sz w:val="24"/>
          <w:szCs w:val="24"/>
        </w:rPr>
      </w:pPr>
    </w:p>
    <w:p w14:paraId="4EFC8B3D" w14:textId="77777777" w:rsidR="004B61FA" w:rsidRPr="00A46DC3" w:rsidRDefault="004B61FA" w:rsidP="00000DC0">
      <w:pPr>
        <w:rPr>
          <w:rFonts w:ascii="Times New Roman" w:hAnsi="Times New Roman" w:cs="Times New Roman"/>
          <w:b/>
          <w:bCs/>
          <w:sz w:val="24"/>
          <w:szCs w:val="24"/>
        </w:rPr>
      </w:pPr>
    </w:p>
    <w:p w14:paraId="26A94EF9" w14:textId="77777777" w:rsidR="0034648C" w:rsidRPr="00A46DC3" w:rsidRDefault="0034648C" w:rsidP="00724207">
      <w:pPr>
        <w:rPr>
          <w:rFonts w:ascii="Times New Roman" w:hAnsi="Times New Roman" w:cs="Times New Roman"/>
          <w:b/>
          <w:bCs/>
          <w:sz w:val="24"/>
          <w:szCs w:val="24"/>
        </w:rPr>
      </w:pPr>
    </w:p>
    <w:p w14:paraId="6FEE3CBF" w14:textId="3D838226" w:rsidR="00690AF6" w:rsidRPr="00A46DC3" w:rsidRDefault="00D64E7F" w:rsidP="00D64E7F">
      <w:pPr>
        <w:rPr>
          <w:rFonts w:ascii="Times New Roman" w:hAnsi="Times New Roman" w:cs="Times New Roman"/>
          <w:b/>
          <w:bCs/>
          <w:sz w:val="24"/>
          <w:szCs w:val="24"/>
        </w:rPr>
      </w:pPr>
      <w:r w:rsidRPr="00A46DC3">
        <w:rPr>
          <w:rFonts w:ascii="Times New Roman" w:hAnsi="Times New Roman" w:cs="Times New Roman"/>
          <w:b/>
          <w:bCs/>
          <w:sz w:val="24"/>
          <w:szCs w:val="24"/>
        </w:rPr>
        <w:lastRenderedPageBreak/>
        <w:t>1.1 INTRODUCTION</w:t>
      </w:r>
    </w:p>
    <w:p w14:paraId="0952B369" w14:textId="77777777" w:rsidR="002A3883" w:rsidRPr="00A46DC3" w:rsidRDefault="00B8110D" w:rsidP="00B8110D">
      <w:pPr>
        <w:spacing w:after="0" w:line="240" w:lineRule="auto"/>
        <w:rPr>
          <w:rFonts w:ascii="Times New Roman" w:eastAsia="Times New Roman" w:hAnsi="Times New Roman" w:cs="Times New Roman"/>
          <w:kern w:val="0"/>
          <w:sz w:val="24"/>
          <w:szCs w:val="24"/>
          <w:lang w:eastAsia="en-GB"/>
          <w14:ligatures w14:val="none"/>
        </w:rPr>
      </w:pPr>
      <w:r w:rsidRPr="00A46DC3">
        <w:rPr>
          <w:rFonts w:ascii="Times New Roman" w:eastAsia="Times New Roman" w:hAnsi="Times New Roman" w:cs="Times New Roman"/>
          <w:kern w:val="0"/>
          <w:sz w:val="24"/>
          <w:szCs w:val="24"/>
          <w:lang w:eastAsia="en-GB"/>
          <w14:ligatures w14:val="none"/>
        </w:rPr>
        <w:t xml:space="preserve">Banks are financial institutions that accept deposits, make loans, and provide a variety of financial services to individuals and businesses. They play a vital role in the economy by facilitating trade, extending credit, and safeguarding deposits. </w:t>
      </w:r>
    </w:p>
    <w:p w14:paraId="19592B53" w14:textId="77777777" w:rsidR="002A3883" w:rsidRPr="00A46DC3" w:rsidRDefault="002A3883" w:rsidP="00B8110D">
      <w:pPr>
        <w:spacing w:after="0" w:line="240" w:lineRule="auto"/>
        <w:rPr>
          <w:rFonts w:ascii="Times New Roman" w:eastAsia="Times New Roman" w:hAnsi="Times New Roman" w:cs="Times New Roman"/>
          <w:kern w:val="0"/>
          <w:sz w:val="24"/>
          <w:szCs w:val="24"/>
          <w:lang w:eastAsia="en-GB"/>
          <w14:ligatures w14:val="none"/>
        </w:rPr>
      </w:pPr>
    </w:p>
    <w:p w14:paraId="7B2EE6A1" w14:textId="44B9720D" w:rsidR="00B8110D" w:rsidRPr="00A46DC3" w:rsidRDefault="00B8110D" w:rsidP="00B8110D">
      <w:pPr>
        <w:spacing w:after="0" w:line="240" w:lineRule="auto"/>
        <w:rPr>
          <w:rFonts w:ascii="Times New Roman" w:eastAsia="Times New Roman" w:hAnsi="Times New Roman" w:cs="Times New Roman"/>
          <w:kern w:val="0"/>
          <w:sz w:val="24"/>
          <w:szCs w:val="24"/>
          <w:lang w:eastAsia="en-GB"/>
          <w14:ligatures w14:val="none"/>
        </w:rPr>
      </w:pPr>
      <w:r w:rsidRPr="00A46DC3">
        <w:rPr>
          <w:rFonts w:ascii="Times New Roman" w:eastAsia="Times New Roman" w:hAnsi="Times New Roman" w:cs="Times New Roman"/>
          <w:kern w:val="0"/>
          <w:sz w:val="24"/>
          <w:szCs w:val="24"/>
          <w:lang w:eastAsia="en-GB"/>
          <w14:ligatures w14:val="none"/>
        </w:rPr>
        <w:t>Banks can be divided into commercial banks, which focus on day-to-day banking services; investment banks, which help with capital markets and corporate finance; and central banks, which manage a country’s currency and monetary policy. In general, banks act as intermediaries that facilitate economic activity and financial stability.</w:t>
      </w:r>
    </w:p>
    <w:p w14:paraId="695E437F" w14:textId="77777777" w:rsidR="00B8110D" w:rsidRPr="00A46DC3" w:rsidRDefault="00B8110D" w:rsidP="00B8110D">
      <w:pPr>
        <w:spacing w:after="0" w:line="240" w:lineRule="auto"/>
        <w:rPr>
          <w:rFonts w:ascii="Times New Roman" w:eastAsia="Times New Roman" w:hAnsi="Times New Roman" w:cs="Times New Roman"/>
          <w:kern w:val="0"/>
          <w:sz w:val="24"/>
          <w:szCs w:val="24"/>
          <w:lang w:eastAsia="en-GB"/>
          <w14:ligatures w14:val="none"/>
        </w:rPr>
      </w:pPr>
    </w:p>
    <w:p w14:paraId="48DAB1D3" w14:textId="76900DDD" w:rsidR="00901641" w:rsidRPr="00A46DC3" w:rsidRDefault="00A21AC4" w:rsidP="00901641">
      <w:pPr>
        <w:spacing w:after="0" w:line="240" w:lineRule="auto"/>
        <w:rPr>
          <w:rFonts w:ascii="Times New Roman" w:eastAsia="Times New Roman" w:hAnsi="Times New Roman" w:cs="Times New Roman"/>
          <w:kern w:val="0"/>
          <w:sz w:val="24"/>
          <w:szCs w:val="24"/>
          <w:lang w:eastAsia="en-GB"/>
          <w14:ligatures w14:val="none"/>
        </w:rPr>
      </w:pPr>
      <w:r w:rsidRPr="00A46DC3">
        <w:rPr>
          <w:rFonts w:ascii="Times New Roman" w:hAnsi="Times New Roman" w:cs="Times New Roman"/>
          <w:sz w:val="24"/>
          <w:szCs w:val="24"/>
        </w:rPr>
        <w:t xml:space="preserve">In most financial institutions around the world, Non-performing Assets are often the total amount of loans or advances that have not generated any income due to a prolonged set default period, typically not less than 90 days. This categorization of Non-performing Assets is very important as it determines the profitability, liquidity and general financial wellbeing of all the banking and the non-banking </w:t>
      </w:r>
      <w:r w:rsidR="00362058" w:rsidRPr="00A46DC3">
        <w:rPr>
          <w:rFonts w:ascii="Times New Roman" w:hAnsi="Times New Roman" w:cs="Times New Roman"/>
          <w:sz w:val="24"/>
          <w:szCs w:val="24"/>
        </w:rPr>
        <w:t>financial</w:t>
      </w:r>
      <w:r w:rsidRPr="00A46DC3">
        <w:rPr>
          <w:rFonts w:ascii="Times New Roman" w:hAnsi="Times New Roman" w:cs="Times New Roman"/>
          <w:sz w:val="24"/>
          <w:szCs w:val="24"/>
        </w:rPr>
        <w:t xml:space="preserve"> institutions. Thus, </w:t>
      </w:r>
      <w:r w:rsidR="005C554F" w:rsidRPr="00A46DC3">
        <w:rPr>
          <w:rFonts w:ascii="Times New Roman" w:hAnsi="Times New Roman" w:cs="Times New Roman"/>
          <w:sz w:val="24"/>
          <w:szCs w:val="24"/>
        </w:rPr>
        <w:t>important levels</w:t>
      </w:r>
      <w:r w:rsidRPr="00A46DC3">
        <w:rPr>
          <w:rFonts w:ascii="Times New Roman" w:hAnsi="Times New Roman" w:cs="Times New Roman"/>
          <w:sz w:val="24"/>
          <w:szCs w:val="24"/>
        </w:rPr>
        <w:t xml:space="preserve"> of negative assets are viewed as systemic affairs that plague the banking industry through careless lending, recession, or deficient risk control.</w:t>
      </w:r>
    </w:p>
    <w:p w14:paraId="73B7AE3B" w14:textId="77777777" w:rsidR="00901641" w:rsidRPr="00A46DC3" w:rsidRDefault="00901641" w:rsidP="00901641">
      <w:pPr>
        <w:spacing w:after="0" w:line="240" w:lineRule="auto"/>
        <w:rPr>
          <w:rFonts w:ascii="Times New Roman" w:eastAsia="Times New Roman" w:hAnsi="Times New Roman" w:cs="Times New Roman"/>
          <w:kern w:val="0"/>
          <w:sz w:val="24"/>
          <w:szCs w:val="24"/>
          <w:lang w:eastAsia="en-GB"/>
          <w14:ligatures w14:val="none"/>
        </w:rPr>
      </w:pPr>
    </w:p>
    <w:p w14:paraId="5B834094" w14:textId="6BE199EB" w:rsidR="00576BD8" w:rsidRPr="00A46DC3" w:rsidRDefault="00576BD8" w:rsidP="00233930">
      <w:pPr>
        <w:rPr>
          <w:rFonts w:ascii="Times New Roman" w:hAnsi="Times New Roman" w:cs="Times New Roman"/>
          <w:sz w:val="24"/>
          <w:szCs w:val="24"/>
        </w:rPr>
      </w:pPr>
      <w:r w:rsidRPr="00A46DC3">
        <w:rPr>
          <w:rFonts w:ascii="Times New Roman" w:hAnsi="Times New Roman" w:cs="Times New Roman"/>
          <w:sz w:val="24"/>
          <w:szCs w:val="24"/>
        </w:rPr>
        <w:t>What is most disconcerting, however, is that NPAs tend to restrict a bank’s Capital Adequacy Ratio, which hinders the ability of the institution to further lend in order to stimulate growth in the economy. In order to preserve the stability of the system, the NPAs control is necessary for the regulators and policy makers. To limit bad loans, several measures are incorporated by the banks with possible or apparent increase of NPA in the portfolio: increased checks of the borrower’s creditworthiness, restructuring of the borrower’s loan, and intercepting more than one borrower with the more than one lender.</w:t>
      </w:r>
    </w:p>
    <w:p w14:paraId="5C935971" w14:textId="63539A64" w:rsidR="00576BD8" w:rsidRPr="00A46DC3" w:rsidRDefault="00240CF2" w:rsidP="00233930">
      <w:pPr>
        <w:rPr>
          <w:rFonts w:ascii="Times New Roman" w:hAnsi="Times New Roman" w:cs="Times New Roman"/>
          <w:sz w:val="24"/>
          <w:szCs w:val="24"/>
        </w:rPr>
      </w:pPr>
      <w:r w:rsidRPr="00A46DC3">
        <w:rPr>
          <w:rFonts w:ascii="Times New Roman" w:hAnsi="Times New Roman" w:cs="Times New Roman"/>
          <w:sz w:val="24"/>
          <w:szCs w:val="24"/>
        </w:rPr>
        <w:t xml:space="preserve">Wiping out NPAs is critical not only for the individual financial entities but also for the economies as a whole. The proper management of NPAs creates confidence in the banking industry, promotes borrowings, and endorses the economic development in long run. As every economy </w:t>
      </w:r>
      <w:proofErr w:type="gramStart"/>
      <w:r w:rsidRPr="00A46DC3">
        <w:rPr>
          <w:rFonts w:ascii="Times New Roman" w:hAnsi="Times New Roman" w:cs="Times New Roman"/>
          <w:sz w:val="24"/>
          <w:szCs w:val="24"/>
        </w:rPr>
        <w:t>changes</w:t>
      </w:r>
      <w:proofErr w:type="gramEnd"/>
      <w:r w:rsidRPr="00A46DC3">
        <w:rPr>
          <w:rFonts w:ascii="Times New Roman" w:hAnsi="Times New Roman" w:cs="Times New Roman"/>
          <w:sz w:val="24"/>
          <w:szCs w:val="24"/>
        </w:rPr>
        <w:t xml:space="preserve"> and develops so also the understanding and management of these NPAs becomes more and more relevant</w:t>
      </w:r>
      <w:r w:rsidR="00D163DE" w:rsidRPr="00A46DC3">
        <w:rPr>
          <w:rFonts w:ascii="Times New Roman" w:hAnsi="Times New Roman" w:cs="Times New Roman"/>
          <w:sz w:val="24"/>
          <w:szCs w:val="24"/>
        </w:rPr>
        <w:t>.</w:t>
      </w:r>
    </w:p>
    <w:p w14:paraId="21E545C9" w14:textId="77777777" w:rsidR="00545E93" w:rsidRPr="00A46DC3" w:rsidRDefault="004E5F15" w:rsidP="00233930">
      <w:pPr>
        <w:rPr>
          <w:rFonts w:ascii="Times New Roman" w:hAnsi="Times New Roman" w:cs="Times New Roman"/>
          <w:sz w:val="24"/>
          <w:szCs w:val="24"/>
        </w:rPr>
      </w:pPr>
      <w:r w:rsidRPr="00A46DC3">
        <w:rPr>
          <w:rFonts w:ascii="Times New Roman" w:hAnsi="Times New Roman" w:cs="Times New Roman"/>
          <w:sz w:val="24"/>
          <w:szCs w:val="24"/>
        </w:rPr>
        <w:t>For our analysis we have taken Federal Bank</w:t>
      </w:r>
      <w:r w:rsidR="003B4779" w:rsidRPr="00A46DC3">
        <w:rPr>
          <w:rFonts w:ascii="Times New Roman" w:hAnsi="Times New Roman" w:cs="Times New Roman"/>
          <w:sz w:val="24"/>
          <w:szCs w:val="24"/>
        </w:rPr>
        <w:t xml:space="preserve">, State Bank of India and </w:t>
      </w:r>
      <w:r w:rsidR="00545E93" w:rsidRPr="00A46DC3">
        <w:rPr>
          <w:rFonts w:ascii="Times New Roman" w:hAnsi="Times New Roman" w:cs="Times New Roman"/>
          <w:sz w:val="24"/>
          <w:szCs w:val="24"/>
        </w:rPr>
        <w:t>HDFC Bank.</w:t>
      </w:r>
      <w:r w:rsidR="002907CE" w:rsidRPr="00A46DC3">
        <w:rPr>
          <w:rFonts w:ascii="Times New Roman" w:hAnsi="Times New Roman" w:cs="Times New Roman"/>
          <w:sz w:val="24"/>
          <w:szCs w:val="24"/>
        </w:rPr>
        <w:t xml:space="preserve"> </w:t>
      </w:r>
    </w:p>
    <w:p w14:paraId="340941D2" w14:textId="02DAE08D" w:rsidR="00D163DE" w:rsidRPr="00A46DC3" w:rsidRDefault="00D163DE" w:rsidP="00233930">
      <w:pPr>
        <w:rPr>
          <w:rFonts w:ascii="Times New Roman" w:hAnsi="Times New Roman" w:cs="Times New Roman"/>
          <w:sz w:val="24"/>
          <w:szCs w:val="24"/>
        </w:rPr>
      </w:pPr>
      <w:r w:rsidRPr="00A46DC3">
        <w:rPr>
          <w:rFonts w:ascii="Times New Roman" w:hAnsi="Times New Roman" w:cs="Times New Roman"/>
          <w:sz w:val="24"/>
          <w:szCs w:val="24"/>
        </w:rPr>
        <w:t>Federal Bank</w:t>
      </w:r>
      <w:r w:rsidR="0008754D" w:rsidRPr="00A46DC3">
        <w:rPr>
          <w:rFonts w:ascii="Times New Roman" w:hAnsi="Times New Roman" w:cs="Times New Roman"/>
          <w:sz w:val="24"/>
          <w:szCs w:val="24"/>
        </w:rPr>
        <w:t xml:space="preserve"> was founded </w:t>
      </w:r>
      <w:r w:rsidR="00F05F0C" w:rsidRPr="00A46DC3">
        <w:rPr>
          <w:rFonts w:ascii="Times New Roman" w:hAnsi="Times New Roman" w:cs="Times New Roman"/>
          <w:sz w:val="24"/>
          <w:szCs w:val="24"/>
        </w:rPr>
        <w:t>in 1945</w:t>
      </w:r>
      <w:r w:rsidR="004E5F15" w:rsidRPr="00A46DC3">
        <w:rPr>
          <w:rFonts w:ascii="Times New Roman" w:hAnsi="Times New Roman" w:cs="Times New Roman"/>
          <w:sz w:val="24"/>
          <w:szCs w:val="24"/>
        </w:rPr>
        <w:t>.</w:t>
      </w:r>
      <w:r w:rsidR="002907CE" w:rsidRPr="00A46DC3">
        <w:rPr>
          <w:rFonts w:ascii="Times New Roman" w:hAnsi="Times New Roman" w:cs="Times New Roman"/>
          <w:sz w:val="24"/>
          <w:szCs w:val="24"/>
        </w:rPr>
        <w:t xml:space="preserve"> It</w:t>
      </w:r>
      <w:r w:rsidR="00F05F0C" w:rsidRPr="00A46DC3">
        <w:rPr>
          <w:rFonts w:ascii="Times New Roman" w:hAnsi="Times New Roman" w:cs="Times New Roman"/>
          <w:sz w:val="24"/>
          <w:szCs w:val="24"/>
        </w:rPr>
        <w:t xml:space="preserve"> started as a small financial institution and has grown significantly over the decades. The bank offers a wide range of banking services, including personal banking, business banking, corporate banking, and wealth management. Services includes savings and current accounts, loans, insurance and investment products. Federal Bank has an extensive network of branches and ATMs across India, making its services widely accessible. The bank has embraced technology, providing various digital banking solutions such as mobile banking, internet banking, and digital payment options, enhancing customer convenience. Federal Bank is listed on the Bombay Stock Exchange (BSE) and National Stock Exchange (NSE), and it has consistently shown strong financial performance and growth. The bank is actively involved in various social initiatives, focusing on education, health care, and environmental sustainability.</w:t>
      </w:r>
    </w:p>
    <w:p w14:paraId="64A48FD6" w14:textId="580C925E" w:rsidR="001C6185" w:rsidRPr="00A46DC3" w:rsidRDefault="001C6185" w:rsidP="000A7804">
      <w:pPr>
        <w:rPr>
          <w:rFonts w:ascii="Times New Roman" w:hAnsi="Times New Roman" w:cs="Times New Roman"/>
          <w:sz w:val="24"/>
          <w:szCs w:val="24"/>
        </w:rPr>
      </w:pPr>
      <w:r w:rsidRPr="00A46DC3">
        <w:rPr>
          <w:rFonts w:ascii="Times New Roman" w:hAnsi="Times New Roman" w:cs="Times New Roman"/>
          <w:sz w:val="24"/>
          <w:szCs w:val="24"/>
        </w:rPr>
        <w:t xml:space="preserve">State Bank of India (SBI), founded in 1806 as the Bank of Calcutta and rebranded in 1955, is India’s largest public sector bank, with its headquarters in Mumbai. The Government of India holds a majority stake, approximately 57%, in the bank. SBI provides a wide range of </w:t>
      </w:r>
      <w:r w:rsidRPr="00A46DC3">
        <w:rPr>
          <w:rFonts w:ascii="Times New Roman" w:hAnsi="Times New Roman" w:cs="Times New Roman"/>
          <w:sz w:val="24"/>
          <w:szCs w:val="24"/>
        </w:rPr>
        <w:lastRenderedPageBreak/>
        <w:t>services, including retail banking (savings and current accounts, personal loans, and home loans), corporate banking (working capital, trade finance, and treasury management), wealth management, and international banking. It operates in over 30 countries, serving both domestic and global customers. As of March 31, 2024, SBI reported total assets of ₹45,36,322 crore, with a net profit of ₹35,231 crore.</w:t>
      </w:r>
      <w:r w:rsidR="000A7804" w:rsidRPr="00A46DC3">
        <w:rPr>
          <w:rFonts w:ascii="Times New Roman" w:hAnsi="Times New Roman" w:cs="Times New Roman"/>
          <w:sz w:val="24"/>
          <w:szCs w:val="24"/>
        </w:rPr>
        <w:t xml:space="preserve"> SBI is a leader in digital banking, offering services like the YONO app and mobile banking. The bank has been at the forefront of government schemes like Jan Dhan Yojana and PMAY, contributing to financial inclusion. In addition to its domestic market leadership, SBI has expanded internationally, especially in countries with large Indian communities. The bank also invests in corporate social responsibility, through its foundation focused on sustainable development, financial literacy, and rural development. With its strong financials, digital innovations, and crucial role in both national and international banking, SBI remains a pillar of India’s banking sector.</w:t>
      </w:r>
    </w:p>
    <w:p w14:paraId="4112DA0D" w14:textId="4A803264" w:rsidR="000A7804" w:rsidRPr="00A46DC3" w:rsidRDefault="007E2E93" w:rsidP="001E72C0">
      <w:pPr>
        <w:rPr>
          <w:rFonts w:ascii="Times New Roman" w:hAnsi="Times New Roman" w:cs="Times New Roman"/>
          <w:sz w:val="24"/>
          <w:szCs w:val="24"/>
        </w:rPr>
      </w:pPr>
      <w:r w:rsidRPr="00A46DC3">
        <w:rPr>
          <w:rFonts w:ascii="Times New Roman" w:hAnsi="Times New Roman" w:cs="Times New Roman"/>
          <w:sz w:val="24"/>
          <w:szCs w:val="24"/>
        </w:rPr>
        <w:t>HDFC Bank, established in 1994, is one of India’s leading private-sector banks, headquartered in Mumbai. It offers a wide range of services including retail banking (savings and current accounts, personal loans, credit cards, home loans, and education loans), corporate banking (working capital, trade finance, and term loans), and treasury services. HDFC Bank is known for its strong digital banking platform, with services like mobile banking, internet banking, and the widely used PayZapp wallet. As of March 31, 2024, the bank reported total assets of ₹20,38,000 crore and a net profit of ₹41,462 crore.</w:t>
      </w:r>
      <w:r w:rsidR="001E72C0" w:rsidRPr="00A46DC3">
        <w:rPr>
          <w:rFonts w:ascii="Times New Roman" w:hAnsi="Times New Roman" w:cs="Times New Roman"/>
          <w:sz w:val="24"/>
          <w:szCs w:val="24"/>
        </w:rPr>
        <w:t xml:space="preserve"> The bank's focus on technology and innovation has allowed it to maintain a leadership position in the private banking sector. HDFC Bank has a strong presence across India, with an extensive network of branches and ATMs, and has also expanded its footprint internationally. In addition to its banking services, the bank is actively involved in corporate social responsibility initiatives, focusing on education, healthcare, and environmental sustainability. With a consistent track record of growth, profitability, and stability, HDFC Bank is considered one of the most reliable financial institutions in India.</w:t>
      </w:r>
    </w:p>
    <w:p w14:paraId="5C897A1E" w14:textId="6E34E675" w:rsidR="00233930" w:rsidRPr="00A46DC3" w:rsidRDefault="00233930" w:rsidP="00233930">
      <w:pPr>
        <w:rPr>
          <w:rFonts w:ascii="Times New Roman" w:hAnsi="Times New Roman" w:cs="Times New Roman"/>
          <w:b/>
          <w:bCs/>
          <w:sz w:val="24"/>
          <w:szCs w:val="24"/>
        </w:rPr>
      </w:pPr>
      <w:r w:rsidRPr="00A46DC3">
        <w:rPr>
          <w:rFonts w:ascii="Times New Roman" w:hAnsi="Times New Roman" w:cs="Times New Roman"/>
          <w:b/>
          <w:bCs/>
          <w:sz w:val="24"/>
          <w:szCs w:val="24"/>
        </w:rPr>
        <w:t xml:space="preserve">1.2 </w:t>
      </w:r>
      <w:r w:rsidR="002E4104" w:rsidRPr="00A46DC3">
        <w:rPr>
          <w:rFonts w:ascii="Times New Roman" w:hAnsi="Times New Roman" w:cs="Times New Roman"/>
          <w:b/>
          <w:bCs/>
          <w:sz w:val="24"/>
          <w:szCs w:val="24"/>
        </w:rPr>
        <w:t>SIGNIFICANCE OF THE STUDY</w:t>
      </w:r>
    </w:p>
    <w:p w14:paraId="32ABB932" w14:textId="70B75631" w:rsidR="002E4104" w:rsidRPr="00A46DC3" w:rsidRDefault="002E4104" w:rsidP="002E4104">
      <w:pPr>
        <w:rPr>
          <w:rFonts w:ascii="Times New Roman" w:hAnsi="Times New Roman" w:cs="Times New Roman"/>
          <w:sz w:val="24"/>
          <w:szCs w:val="24"/>
        </w:rPr>
      </w:pPr>
      <w:r w:rsidRPr="00A46DC3">
        <w:rPr>
          <w:rFonts w:ascii="Times New Roman" w:hAnsi="Times New Roman" w:cs="Times New Roman"/>
          <w:sz w:val="24"/>
          <w:szCs w:val="24"/>
        </w:rPr>
        <w:t>Understanding non-performing assets (NPAs) in banks, is essential to comprehending the financial stability of these organisations and how they affect the overall economy. High NPAs may be a sign of inadequate risk management, which would limit loan availability and slow down economic expansion. NPA analysis assists regulators in developing successful policies and reforms. Better credit evaluation procedures are guided by the insights this research provides into sectoral weaknesses and borrower behaviour. In the end, learnings from non-performing asset (NPA) studies help to improve accountability, support a more stable and resilient banking environment, and guide strategic decision-making.</w:t>
      </w:r>
    </w:p>
    <w:p w14:paraId="29817510" w14:textId="11F52104"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1.3 STATEMENT OF PROBLEM</w:t>
      </w:r>
    </w:p>
    <w:p w14:paraId="0E3508DD" w14:textId="36E9E03F" w:rsidR="002E4104" w:rsidRPr="00A46DC3" w:rsidRDefault="00894DD2" w:rsidP="002E4104">
      <w:pPr>
        <w:rPr>
          <w:rFonts w:ascii="Times New Roman" w:hAnsi="Times New Roman" w:cs="Times New Roman"/>
          <w:sz w:val="24"/>
          <w:szCs w:val="24"/>
        </w:rPr>
      </w:pPr>
      <w:r w:rsidRPr="00A46DC3">
        <w:rPr>
          <w:rFonts w:ascii="Times New Roman" w:hAnsi="Times New Roman" w:cs="Times New Roman"/>
          <w:sz w:val="24"/>
          <w:szCs w:val="24"/>
        </w:rPr>
        <w:t>Non-performing assets</w:t>
      </w:r>
      <w:r w:rsidR="00924D08" w:rsidRPr="00A46DC3">
        <w:rPr>
          <w:rFonts w:ascii="Times New Roman" w:hAnsi="Times New Roman" w:cs="Times New Roman"/>
          <w:sz w:val="24"/>
          <w:szCs w:val="24"/>
        </w:rPr>
        <w:t xml:space="preserve"> are one of the biggest</w:t>
      </w:r>
      <w:r w:rsidR="006B7DE3" w:rsidRPr="00A46DC3">
        <w:rPr>
          <w:rFonts w:ascii="Times New Roman" w:hAnsi="Times New Roman" w:cs="Times New Roman"/>
          <w:sz w:val="24"/>
          <w:szCs w:val="24"/>
        </w:rPr>
        <w:t xml:space="preserve"> obstacles</w:t>
      </w:r>
      <w:r w:rsidR="00FC664C" w:rsidRPr="00A46DC3">
        <w:rPr>
          <w:rFonts w:ascii="Times New Roman" w:hAnsi="Times New Roman" w:cs="Times New Roman"/>
          <w:sz w:val="24"/>
          <w:szCs w:val="24"/>
        </w:rPr>
        <w:t xml:space="preserve"> in the way of socio-economic development of India. </w:t>
      </w:r>
      <w:r w:rsidR="003B5014" w:rsidRPr="00A46DC3">
        <w:rPr>
          <w:rFonts w:ascii="Times New Roman" w:hAnsi="Times New Roman" w:cs="Times New Roman"/>
          <w:sz w:val="24"/>
          <w:szCs w:val="24"/>
        </w:rPr>
        <w:t>The level of NPAs of the banking system of India is still too high. The problem of NPA prevails in the entire banking industry.</w:t>
      </w:r>
    </w:p>
    <w:p w14:paraId="1ABCF360" w14:textId="580A7E93" w:rsidR="003C6EE2" w:rsidRPr="00A46DC3" w:rsidRDefault="003C6EE2" w:rsidP="002E4104">
      <w:pPr>
        <w:rPr>
          <w:rFonts w:ascii="Times New Roman" w:hAnsi="Times New Roman" w:cs="Times New Roman"/>
          <w:sz w:val="24"/>
          <w:szCs w:val="24"/>
        </w:rPr>
      </w:pPr>
      <w:r w:rsidRPr="00A46DC3">
        <w:rPr>
          <w:rFonts w:ascii="Times New Roman" w:hAnsi="Times New Roman" w:cs="Times New Roman"/>
          <w:sz w:val="24"/>
          <w:szCs w:val="24"/>
        </w:rPr>
        <w:t>The project aims t</w:t>
      </w:r>
      <w:r w:rsidR="00CD5456" w:rsidRPr="00A46DC3">
        <w:rPr>
          <w:rFonts w:ascii="Times New Roman" w:hAnsi="Times New Roman" w:cs="Times New Roman"/>
          <w:sz w:val="24"/>
          <w:szCs w:val="24"/>
        </w:rPr>
        <w:t>o know the NPA profile of Federal Bank</w:t>
      </w:r>
      <w:r w:rsidR="00C054F6" w:rsidRPr="00A46DC3">
        <w:rPr>
          <w:rFonts w:ascii="Times New Roman" w:hAnsi="Times New Roman" w:cs="Times New Roman"/>
          <w:sz w:val="24"/>
          <w:szCs w:val="24"/>
        </w:rPr>
        <w:t>, State bank of India and HDFC in</w:t>
      </w:r>
      <w:r w:rsidR="00CD5456" w:rsidRPr="00A46DC3">
        <w:rPr>
          <w:rFonts w:ascii="Times New Roman" w:hAnsi="Times New Roman" w:cs="Times New Roman"/>
          <w:sz w:val="24"/>
          <w:szCs w:val="24"/>
        </w:rPr>
        <w:t xml:space="preserve"> different sectors, to analyse the </w:t>
      </w:r>
      <w:r w:rsidR="009D545C" w:rsidRPr="00A46DC3">
        <w:rPr>
          <w:rFonts w:ascii="Times New Roman" w:hAnsi="Times New Roman" w:cs="Times New Roman"/>
          <w:sz w:val="24"/>
          <w:szCs w:val="24"/>
        </w:rPr>
        <w:t>movements in NPA of Federal Bank</w:t>
      </w:r>
      <w:r w:rsidR="00C054F6" w:rsidRPr="00A46DC3">
        <w:rPr>
          <w:rFonts w:ascii="Times New Roman" w:hAnsi="Times New Roman" w:cs="Times New Roman"/>
          <w:sz w:val="24"/>
          <w:szCs w:val="24"/>
        </w:rPr>
        <w:t>, State bank of India and HDFC</w:t>
      </w:r>
      <w:r w:rsidR="009D545C" w:rsidRPr="00A46DC3">
        <w:rPr>
          <w:rFonts w:ascii="Times New Roman" w:hAnsi="Times New Roman" w:cs="Times New Roman"/>
          <w:sz w:val="24"/>
          <w:szCs w:val="24"/>
        </w:rPr>
        <w:t xml:space="preserve">, to know which sector or subsector huge NPA has </w:t>
      </w:r>
      <w:r w:rsidR="00AA3EF9" w:rsidRPr="00A46DC3">
        <w:rPr>
          <w:rFonts w:ascii="Times New Roman" w:hAnsi="Times New Roman" w:cs="Times New Roman"/>
          <w:sz w:val="24"/>
          <w:szCs w:val="24"/>
        </w:rPr>
        <w:t>been tied up, to identify the causes for the NPA and t</w:t>
      </w:r>
      <w:r w:rsidR="00556206" w:rsidRPr="00A46DC3">
        <w:rPr>
          <w:rFonts w:ascii="Times New Roman" w:hAnsi="Times New Roman" w:cs="Times New Roman"/>
          <w:sz w:val="24"/>
          <w:szCs w:val="24"/>
        </w:rPr>
        <w:t>o identify the action plan to reduce the NPA.</w:t>
      </w:r>
    </w:p>
    <w:p w14:paraId="1C2C2999" w14:textId="41E98739"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lastRenderedPageBreak/>
        <w:t>1.4 OBJECTIVES OF THE STUDY</w:t>
      </w:r>
    </w:p>
    <w:p w14:paraId="39800928" w14:textId="2F9BF7C1" w:rsidR="00B955F2" w:rsidRPr="00A46DC3" w:rsidRDefault="00B955F2" w:rsidP="00B955F2">
      <w:pPr>
        <w:pStyle w:val="ListParagraph"/>
        <w:numPr>
          <w:ilvl w:val="0"/>
          <w:numId w:val="18"/>
        </w:numPr>
        <w:rPr>
          <w:rFonts w:ascii="Times New Roman" w:hAnsi="Times New Roman" w:cs="Times New Roman"/>
          <w:sz w:val="24"/>
          <w:szCs w:val="24"/>
        </w:rPr>
      </w:pPr>
      <w:r w:rsidRPr="00A46DC3">
        <w:rPr>
          <w:rFonts w:ascii="Times New Roman" w:hAnsi="Times New Roman" w:cs="Times New Roman"/>
          <w:sz w:val="24"/>
          <w:szCs w:val="24"/>
        </w:rPr>
        <w:t>To understand the concept of NPA.</w:t>
      </w:r>
    </w:p>
    <w:p w14:paraId="0F224781" w14:textId="77777777" w:rsidR="0040509F" w:rsidRPr="00A46DC3" w:rsidRDefault="00B955F2" w:rsidP="0040509F">
      <w:pPr>
        <w:pStyle w:val="ListParagraph"/>
        <w:numPr>
          <w:ilvl w:val="0"/>
          <w:numId w:val="18"/>
        </w:numPr>
        <w:rPr>
          <w:rFonts w:ascii="Times New Roman" w:hAnsi="Times New Roman" w:cs="Times New Roman"/>
          <w:sz w:val="24"/>
          <w:szCs w:val="24"/>
        </w:rPr>
      </w:pPr>
      <w:r w:rsidRPr="00A46DC3">
        <w:rPr>
          <w:rFonts w:ascii="Times New Roman" w:hAnsi="Times New Roman" w:cs="Times New Roman"/>
          <w:sz w:val="24"/>
          <w:szCs w:val="24"/>
        </w:rPr>
        <w:t>To find out the impact of NPA and the factors contributing to NPAs</w:t>
      </w:r>
      <w:r w:rsidR="00295BFF" w:rsidRPr="00A46DC3">
        <w:rPr>
          <w:rFonts w:ascii="Times New Roman" w:hAnsi="Times New Roman" w:cs="Times New Roman"/>
          <w:sz w:val="24"/>
          <w:szCs w:val="24"/>
        </w:rPr>
        <w:t>.</w:t>
      </w:r>
    </w:p>
    <w:p w14:paraId="482B856B" w14:textId="58754401" w:rsidR="00295BFF" w:rsidRPr="00A46DC3" w:rsidRDefault="002605FC" w:rsidP="0040509F">
      <w:pPr>
        <w:pStyle w:val="ListParagraph"/>
        <w:numPr>
          <w:ilvl w:val="0"/>
          <w:numId w:val="18"/>
        </w:numPr>
        <w:rPr>
          <w:rFonts w:ascii="Times New Roman" w:hAnsi="Times New Roman" w:cs="Times New Roman"/>
          <w:sz w:val="24"/>
          <w:szCs w:val="24"/>
        </w:rPr>
      </w:pPr>
      <w:r w:rsidRPr="00A46DC3">
        <w:rPr>
          <w:rFonts w:ascii="Times New Roman" w:hAnsi="Times New Roman" w:cs="Times New Roman"/>
          <w:sz w:val="24"/>
          <w:szCs w:val="24"/>
        </w:rPr>
        <w:t>To measure the level of NPAs in Federal Bank</w:t>
      </w:r>
      <w:r w:rsidR="006E2965" w:rsidRPr="00A46DC3">
        <w:rPr>
          <w:rFonts w:ascii="Times New Roman" w:hAnsi="Times New Roman" w:cs="Times New Roman"/>
          <w:sz w:val="24"/>
          <w:szCs w:val="24"/>
        </w:rPr>
        <w:t xml:space="preserve">, </w:t>
      </w:r>
      <w:r w:rsidR="00D24C50" w:rsidRPr="00A46DC3">
        <w:rPr>
          <w:rFonts w:ascii="Times New Roman" w:hAnsi="Times New Roman" w:cs="Times New Roman"/>
          <w:sz w:val="24"/>
          <w:szCs w:val="24"/>
        </w:rPr>
        <w:t>State Bank of India and HDFC Bank.</w:t>
      </w:r>
    </w:p>
    <w:p w14:paraId="3DD010EE" w14:textId="7A12E7F0" w:rsidR="002605FC" w:rsidRPr="00A46DC3" w:rsidRDefault="002605FC" w:rsidP="00B955F2">
      <w:pPr>
        <w:pStyle w:val="ListParagraph"/>
        <w:numPr>
          <w:ilvl w:val="0"/>
          <w:numId w:val="18"/>
        </w:numPr>
        <w:rPr>
          <w:rFonts w:ascii="Times New Roman" w:hAnsi="Times New Roman" w:cs="Times New Roman"/>
          <w:sz w:val="24"/>
          <w:szCs w:val="24"/>
        </w:rPr>
      </w:pPr>
      <w:r w:rsidRPr="00A46DC3">
        <w:rPr>
          <w:rFonts w:ascii="Times New Roman" w:hAnsi="Times New Roman" w:cs="Times New Roman"/>
          <w:sz w:val="24"/>
          <w:szCs w:val="24"/>
        </w:rPr>
        <w:t>To make suggestions to overcome the problems of NPAs.</w:t>
      </w:r>
    </w:p>
    <w:p w14:paraId="7DF39FFD" w14:textId="5AB9E981"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1.5 NEED OF THE STUDY</w:t>
      </w:r>
    </w:p>
    <w:p w14:paraId="236920C3" w14:textId="656C5884" w:rsidR="009B0C1C" w:rsidRPr="00A46DC3" w:rsidRDefault="009B0C1C" w:rsidP="009B0C1C">
      <w:pPr>
        <w:rPr>
          <w:rFonts w:ascii="Times New Roman" w:hAnsi="Times New Roman" w:cs="Times New Roman"/>
          <w:sz w:val="24"/>
          <w:szCs w:val="24"/>
        </w:rPr>
      </w:pPr>
      <w:r w:rsidRPr="00A46DC3">
        <w:rPr>
          <w:rFonts w:ascii="Times New Roman" w:hAnsi="Times New Roman" w:cs="Times New Roman"/>
          <w:sz w:val="24"/>
          <w:szCs w:val="24"/>
        </w:rPr>
        <w:t>The need for this study on non-performing assets (NPAs) arises from their significant impact on the financial stability of public and private sector banks. Understanding NPAs is essential for identifying systemic risks, improving credit risk management, and enhancing regulatory frameworks. In a rapidly changing financial sector, this research seeks to shed light on practical approaches to NPA reduction, which will eventually improve banking performance and economic resilience.</w:t>
      </w:r>
    </w:p>
    <w:p w14:paraId="14AE83C4" w14:textId="09EFE1D8"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1.6 METHODOLOGY</w:t>
      </w:r>
      <w:r w:rsidR="00463ADA" w:rsidRPr="00A46DC3">
        <w:rPr>
          <w:rFonts w:ascii="Times New Roman" w:hAnsi="Times New Roman" w:cs="Times New Roman"/>
          <w:b/>
          <w:bCs/>
          <w:sz w:val="24"/>
          <w:szCs w:val="24"/>
        </w:rPr>
        <w:t xml:space="preserve"> OF THE STUDY</w:t>
      </w:r>
    </w:p>
    <w:p w14:paraId="68C7FA69" w14:textId="7A88AE55" w:rsidR="009B0C1C" w:rsidRPr="00A46DC3" w:rsidRDefault="00FE7155" w:rsidP="00FE7155">
      <w:pPr>
        <w:rPr>
          <w:rFonts w:ascii="Times New Roman" w:hAnsi="Times New Roman" w:cs="Times New Roman"/>
          <w:sz w:val="24"/>
          <w:szCs w:val="24"/>
        </w:rPr>
      </w:pPr>
      <w:r w:rsidRPr="00A46DC3">
        <w:rPr>
          <w:rFonts w:ascii="Times New Roman" w:hAnsi="Times New Roman" w:cs="Times New Roman"/>
          <w:sz w:val="24"/>
          <w:szCs w:val="24"/>
        </w:rPr>
        <w:t>Researc</w:t>
      </w:r>
      <w:r w:rsidR="00CE30C5" w:rsidRPr="00A46DC3">
        <w:rPr>
          <w:rFonts w:ascii="Times New Roman" w:hAnsi="Times New Roman" w:cs="Times New Roman"/>
          <w:sz w:val="24"/>
          <w:szCs w:val="24"/>
        </w:rPr>
        <w:t xml:space="preserve">h is the search for knowledge through objective and systematic method of finding solution to a problem. Research methodology is a </w:t>
      </w:r>
      <w:r w:rsidR="009D6B21" w:rsidRPr="00A46DC3">
        <w:rPr>
          <w:rFonts w:ascii="Times New Roman" w:hAnsi="Times New Roman" w:cs="Times New Roman"/>
          <w:sz w:val="24"/>
          <w:szCs w:val="24"/>
        </w:rPr>
        <w:t>scientific and systematic way to solve research problems.</w:t>
      </w:r>
      <w:r w:rsidR="00415839" w:rsidRPr="00A46DC3">
        <w:rPr>
          <w:rFonts w:ascii="Times New Roman" w:hAnsi="Times New Roman" w:cs="Times New Roman"/>
          <w:sz w:val="24"/>
          <w:szCs w:val="24"/>
        </w:rPr>
        <w:t xml:space="preserve"> The research methodology has many dimensions</w:t>
      </w:r>
      <w:r w:rsidR="00253593" w:rsidRPr="00A46DC3">
        <w:rPr>
          <w:rFonts w:ascii="Times New Roman" w:hAnsi="Times New Roman" w:cs="Times New Roman"/>
          <w:sz w:val="24"/>
          <w:szCs w:val="24"/>
        </w:rPr>
        <w:t xml:space="preserve">. A methodology may be understood to mean as all those methods and techniques that are adopted </w:t>
      </w:r>
      <w:r w:rsidR="00BC558F" w:rsidRPr="00A46DC3">
        <w:rPr>
          <w:rFonts w:ascii="Times New Roman" w:hAnsi="Times New Roman" w:cs="Times New Roman"/>
          <w:sz w:val="24"/>
          <w:szCs w:val="24"/>
        </w:rPr>
        <w:t xml:space="preserve">for collecting information and data. </w:t>
      </w:r>
      <w:r w:rsidR="003A76A5" w:rsidRPr="00A46DC3">
        <w:rPr>
          <w:rFonts w:ascii="Times New Roman" w:hAnsi="Times New Roman" w:cs="Times New Roman"/>
          <w:sz w:val="24"/>
          <w:szCs w:val="24"/>
        </w:rPr>
        <w:t>In view of the research objectives, the research methodology adopted during the research procedure</w:t>
      </w:r>
      <w:r w:rsidR="003F73E4" w:rsidRPr="00A46DC3">
        <w:rPr>
          <w:rFonts w:ascii="Times New Roman" w:hAnsi="Times New Roman" w:cs="Times New Roman"/>
          <w:sz w:val="24"/>
          <w:szCs w:val="24"/>
        </w:rPr>
        <w:t xml:space="preserve"> described below</w:t>
      </w:r>
    </w:p>
    <w:p w14:paraId="36F32AB8" w14:textId="5571E5CF" w:rsidR="003F73E4" w:rsidRPr="00A46DC3" w:rsidRDefault="003F73E4" w:rsidP="00FE7155">
      <w:pPr>
        <w:rPr>
          <w:rFonts w:ascii="Times New Roman" w:hAnsi="Times New Roman" w:cs="Times New Roman"/>
          <w:b/>
          <w:bCs/>
          <w:sz w:val="24"/>
          <w:szCs w:val="24"/>
        </w:rPr>
      </w:pPr>
      <w:r w:rsidRPr="00A46DC3">
        <w:rPr>
          <w:rFonts w:ascii="Times New Roman" w:hAnsi="Times New Roman" w:cs="Times New Roman"/>
          <w:b/>
          <w:bCs/>
          <w:sz w:val="24"/>
          <w:szCs w:val="24"/>
        </w:rPr>
        <w:t>Research Design</w:t>
      </w:r>
    </w:p>
    <w:p w14:paraId="06AFA920" w14:textId="5B79ADE9" w:rsidR="003F73E4" w:rsidRPr="00A46DC3" w:rsidRDefault="003F73E4" w:rsidP="00FE7155">
      <w:pPr>
        <w:rPr>
          <w:rFonts w:ascii="Times New Roman" w:hAnsi="Times New Roman" w:cs="Times New Roman"/>
          <w:sz w:val="24"/>
          <w:szCs w:val="24"/>
        </w:rPr>
      </w:pPr>
      <w:r w:rsidRPr="00A46DC3">
        <w:rPr>
          <w:rFonts w:ascii="Times New Roman" w:hAnsi="Times New Roman" w:cs="Times New Roman"/>
          <w:sz w:val="24"/>
          <w:szCs w:val="24"/>
        </w:rPr>
        <w:t xml:space="preserve">Research Design </w:t>
      </w:r>
      <w:r w:rsidR="00D64CE2" w:rsidRPr="00A46DC3">
        <w:rPr>
          <w:rFonts w:ascii="Times New Roman" w:hAnsi="Times New Roman" w:cs="Times New Roman"/>
          <w:sz w:val="24"/>
          <w:szCs w:val="24"/>
        </w:rPr>
        <w:t>that has been adopted for the study, offers a firm basis for drawing conclusions from the data collected. The type of research carried over here for this purp</w:t>
      </w:r>
      <w:r w:rsidR="00D37AE9" w:rsidRPr="00A46DC3">
        <w:rPr>
          <w:rFonts w:ascii="Times New Roman" w:hAnsi="Times New Roman" w:cs="Times New Roman"/>
          <w:sz w:val="24"/>
          <w:szCs w:val="24"/>
        </w:rPr>
        <w:t>ose is analytical research.</w:t>
      </w:r>
    </w:p>
    <w:p w14:paraId="50B0433B" w14:textId="5336BF3A" w:rsidR="00D37AE9" w:rsidRPr="00A46DC3" w:rsidRDefault="00D37AE9" w:rsidP="00FE7155">
      <w:pPr>
        <w:rPr>
          <w:rFonts w:ascii="Times New Roman" w:hAnsi="Times New Roman" w:cs="Times New Roman"/>
          <w:b/>
          <w:bCs/>
          <w:sz w:val="24"/>
          <w:szCs w:val="24"/>
        </w:rPr>
      </w:pPr>
      <w:r w:rsidRPr="00A46DC3">
        <w:rPr>
          <w:rFonts w:ascii="Times New Roman" w:hAnsi="Times New Roman" w:cs="Times New Roman"/>
          <w:b/>
          <w:bCs/>
          <w:sz w:val="24"/>
          <w:szCs w:val="24"/>
        </w:rPr>
        <w:t>Collection of Data</w:t>
      </w:r>
    </w:p>
    <w:p w14:paraId="6971D34D" w14:textId="69EB4C09" w:rsidR="00D37AE9" w:rsidRPr="00A46DC3" w:rsidRDefault="00D37AE9" w:rsidP="00FE7155">
      <w:pPr>
        <w:rPr>
          <w:rFonts w:ascii="Times New Roman" w:hAnsi="Times New Roman" w:cs="Times New Roman"/>
          <w:sz w:val="24"/>
          <w:szCs w:val="24"/>
        </w:rPr>
      </w:pPr>
      <w:r w:rsidRPr="00A46DC3">
        <w:rPr>
          <w:rFonts w:ascii="Times New Roman" w:hAnsi="Times New Roman" w:cs="Times New Roman"/>
          <w:sz w:val="24"/>
          <w:szCs w:val="24"/>
        </w:rPr>
        <w:t>The study is predominantly based on data collection from the secondary sources.</w:t>
      </w:r>
    </w:p>
    <w:p w14:paraId="20EDE81A" w14:textId="0B09E467" w:rsidR="00D37AE9" w:rsidRPr="00A46DC3" w:rsidRDefault="00D37AE9" w:rsidP="00FE7155">
      <w:pPr>
        <w:rPr>
          <w:rFonts w:ascii="Times New Roman" w:hAnsi="Times New Roman" w:cs="Times New Roman"/>
          <w:sz w:val="24"/>
          <w:szCs w:val="24"/>
        </w:rPr>
      </w:pPr>
      <w:r w:rsidRPr="00A46DC3">
        <w:rPr>
          <w:rFonts w:ascii="Times New Roman" w:hAnsi="Times New Roman" w:cs="Times New Roman"/>
          <w:sz w:val="24"/>
          <w:szCs w:val="24"/>
        </w:rPr>
        <w:t xml:space="preserve">Secondary Sources </w:t>
      </w:r>
      <w:r w:rsidR="001539E7" w:rsidRPr="00A46DC3">
        <w:rPr>
          <w:rFonts w:ascii="Times New Roman" w:hAnsi="Times New Roman" w:cs="Times New Roman"/>
          <w:sz w:val="24"/>
          <w:szCs w:val="24"/>
        </w:rPr>
        <w:t>–</w:t>
      </w:r>
      <w:r w:rsidR="00C4002C" w:rsidRPr="00A46DC3">
        <w:rPr>
          <w:rFonts w:ascii="Times New Roman" w:hAnsi="Times New Roman" w:cs="Times New Roman"/>
          <w:sz w:val="24"/>
          <w:szCs w:val="24"/>
        </w:rPr>
        <w:t xml:space="preserve"> </w:t>
      </w:r>
      <w:r w:rsidR="001539E7" w:rsidRPr="00A46DC3">
        <w:rPr>
          <w:rFonts w:ascii="Times New Roman" w:hAnsi="Times New Roman" w:cs="Times New Roman"/>
          <w:sz w:val="24"/>
          <w:szCs w:val="24"/>
        </w:rPr>
        <w:t xml:space="preserve">The secondary collection tools used include </w:t>
      </w:r>
      <w:r w:rsidR="00C054F6" w:rsidRPr="00A46DC3">
        <w:rPr>
          <w:rFonts w:ascii="Times New Roman" w:hAnsi="Times New Roman" w:cs="Times New Roman"/>
          <w:sz w:val="24"/>
          <w:szCs w:val="24"/>
        </w:rPr>
        <w:t xml:space="preserve">press release of Federal Bank, State bank of India and HDFC, </w:t>
      </w:r>
      <w:r w:rsidR="00AC2712" w:rsidRPr="00A46DC3">
        <w:rPr>
          <w:rFonts w:ascii="Times New Roman" w:hAnsi="Times New Roman" w:cs="Times New Roman"/>
          <w:sz w:val="24"/>
          <w:szCs w:val="24"/>
        </w:rPr>
        <w:t>commercial magazines, internal reports of Federal Bank, guidelines issued by RBI from time to time, reports from academic areas, websites, etc</w:t>
      </w:r>
      <w:r w:rsidR="00C661DB" w:rsidRPr="00A46DC3">
        <w:rPr>
          <w:rFonts w:ascii="Times New Roman" w:hAnsi="Times New Roman" w:cs="Times New Roman"/>
          <w:sz w:val="24"/>
          <w:szCs w:val="24"/>
        </w:rPr>
        <w:t>.</w:t>
      </w:r>
    </w:p>
    <w:p w14:paraId="29BCEEB9" w14:textId="69B2F79D" w:rsidR="00C661DB" w:rsidRPr="00A46DC3" w:rsidRDefault="00C661DB" w:rsidP="00FE7155">
      <w:pPr>
        <w:rPr>
          <w:rFonts w:ascii="Times New Roman" w:hAnsi="Times New Roman" w:cs="Times New Roman"/>
          <w:b/>
          <w:bCs/>
          <w:sz w:val="24"/>
          <w:szCs w:val="24"/>
        </w:rPr>
      </w:pPr>
      <w:r w:rsidRPr="00A46DC3">
        <w:rPr>
          <w:rFonts w:ascii="Times New Roman" w:hAnsi="Times New Roman" w:cs="Times New Roman"/>
          <w:b/>
          <w:bCs/>
          <w:sz w:val="24"/>
          <w:szCs w:val="24"/>
        </w:rPr>
        <w:t>Tools for Data Analysis:</w:t>
      </w:r>
    </w:p>
    <w:p w14:paraId="4780CFA5" w14:textId="03C69787" w:rsidR="00C661DB" w:rsidRPr="00A46DC3" w:rsidRDefault="00077E59" w:rsidP="00FE7155">
      <w:pPr>
        <w:rPr>
          <w:rFonts w:ascii="Times New Roman" w:hAnsi="Times New Roman" w:cs="Times New Roman"/>
          <w:sz w:val="24"/>
          <w:szCs w:val="24"/>
        </w:rPr>
      </w:pPr>
      <w:r w:rsidRPr="00A46DC3">
        <w:rPr>
          <w:rFonts w:ascii="Times New Roman" w:hAnsi="Times New Roman" w:cs="Times New Roman"/>
          <w:sz w:val="24"/>
          <w:szCs w:val="24"/>
        </w:rPr>
        <w:t>Ratio Analysis – A ratio analysis</w:t>
      </w:r>
      <w:r w:rsidR="00A071AC" w:rsidRPr="00A46DC3">
        <w:rPr>
          <w:rFonts w:ascii="Times New Roman" w:hAnsi="Times New Roman" w:cs="Times New Roman"/>
          <w:sz w:val="24"/>
          <w:szCs w:val="24"/>
        </w:rPr>
        <w:t xml:space="preserve"> is a quantitative analysis of information contained in a company’s financial statements. Ration analysis is used to evaluate various aspects of a com</w:t>
      </w:r>
      <w:r w:rsidR="007E2BB7" w:rsidRPr="00A46DC3">
        <w:rPr>
          <w:rFonts w:ascii="Times New Roman" w:hAnsi="Times New Roman" w:cs="Times New Roman"/>
          <w:sz w:val="24"/>
          <w:szCs w:val="24"/>
        </w:rPr>
        <w:t>pany's operating and financial performance such as its efficiency, liquidity, profitability and solvency.</w:t>
      </w:r>
    </w:p>
    <w:p w14:paraId="72E5A1A5" w14:textId="3F76B7EE" w:rsidR="00C054F6" w:rsidRPr="00A46DC3" w:rsidRDefault="00C054F6" w:rsidP="00FE7155">
      <w:pPr>
        <w:rPr>
          <w:rFonts w:ascii="Times New Roman" w:hAnsi="Times New Roman" w:cs="Times New Roman"/>
          <w:sz w:val="24"/>
          <w:szCs w:val="24"/>
        </w:rPr>
      </w:pPr>
      <w:r w:rsidRPr="00A46DC3">
        <w:rPr>
          <w:rFonts w:ascii="Times New Roman" w:hAnsi="Times New Roman" w:cs="Times New Roman"/>
          <w:sz w:val="24"/>
          <w:szCs w:val="24"/>
        </w:rPr>
        <w:t>Standard Deviation- A static measure of the amount of variation or dispersion of a set of values from the mean value.</w:t>
      </w:r>
    </w:p>
    <w:p w14:paraId="6BC78E0F" w14:textId="217890C8" w:rsidR="00D563BD" w:rsidRPr="00A46DC3" w:rsidRDefault="00D563BD" w:rsidP="00D563BD">
      <w:pPr>
        <w:rPr>
          <w:rFonts w:ascii="Times New Roman" w:hAnsi="Times New Roman" w:cs="Times New Roman"/>
          <w:b/>
          <w:bCs/>
          <w:sz w:val="24"/>
          <w:szCs w:val="24"/>
        </w:rPr>
      </w:pPr>
      <w:r w:rsidRPr="00A46DC3">
        <w:rPr>
          <w:rFonts w:ascii="Times New Roman" w:hAnsi="Times New Roman" w:cs="Times New Roman"/>
          <w:b/>
          <w:bCs/>
          <w:sz w:val="24"/>
          <w:szCs w:val="24"/>
        </w:rPr>
        <w:t>Tools for Data Presentation</w:t>
      </w:r>
    </w:p>
    <w:p w14:paraId="0BED952E" w14:textId="7181CE8F" w:rsidR="00D563BD" w:rsidRPr="00A46DC3" w:rsidRDefault="00D563BD" w:rsidP="00D563BD">
      <w:pPr>
        <w:pStyle w:val="ListParagraph"/>
        <w:numPr>
          <w:ilvl w:val="0"/>
          <w:numId w:val="19"/>
        </w:numPr>
        <w:rPr>
          <w:rFonts w:ascii="Times New Roman" w:hAnsi="Times New Roman" w:cs="Times New Roman"/>
          <w:sz w:val="24"/>
          <w:szCs w:val="24"/>
        </w:rPr>
      </w:pPr>
      <w:r w:rsidRPr="00A46DC3">
        <w:rPr>
          <w:rFonts w:ascii="Times New Roman" w:hAnsi="Times New Roman" w:cs="Times New Roman"/>
          <w:sz w:val="24"/>
          <w:szCs w:val="24"/>
        </w:rPr>
        <w:t>Tables</w:t>
      </w:r>
    </w:p>
    <w:p w14:paraId="6A23B778" w14:textId="77777777" w:rsidR="0040509F" w:rsidRPr="00A46DC3" w:rsidRDefault="00D563BD" w:rsidP="0040509F">
      <w:pPr>
        <w:pStyle w:val="ListParagraph"/>
        <w:numPr>
          <w:ilvl w:val="0"/>
          <w:numId w:val="19"/>
        </w:numPr>
        <w:rPr>
          <w:rFonts w:ascii="Times New Roman" w:hAnsi="Times New Roman" w:cs="Times New Roman"/>
          <w:sz w:val="24"/>
          <w:szCs w:val="24"/>
        </w:rPr>
      </w:pPr>
      <w:r w:rsidRPr="00A46DC3">
        <w:rPr>
          <w:rFonts w:ascii="Times New Roman" w:hAnsi="Times New Roman" w:cs="Times New Roman"/>
          <w:sz w:val="24"/>
          <w:szCs w:val="24"/>
        </w:rPr>
        <w:t>Bar Chart</w:t>
      </w:r>
    </w:p>
    <w:p w14:paraId="7897A4AB" w14:textId="783025B6" w:rsidR="00D563BD" w:rsidRPr="00A46DC3" w:rsidRDefault="00D563BD" w:rsidP="0040509F">
      <w:pPr>
        <w:pStyle w:val="ListParagraph"/>
        <w:numPr>
          <w:ilvl w:val="0"/>
          <w:numId w:val="19"/>
        </w:numPr>
        <w:rPr>
          <w:rFonts w:ascii="Times New Roman" w:hAnsi="Times New Roman" w:cs="Times New Roman"/>
          <w:sz w:val="24"/>
          <w:szCs w:val="24"/>
        </w:rPr>
      </w:pPr>
      <w:r w:rsidRPr="00A46DC3">
        <w:rPr>
          <w:rFonts w:ascii="Times New Roman" w:hAnsi="Times New Roman" w:cs="Times New Roman"/>
          <w:sz w:val="24"/>
          <w:szCs w:val="24"/>
        </w:rPr>
        <w:lastRenderedPageBreak/>
        <w:t>Line Chart</w:t>
      </w:r>
    </w:p>
    <w:p w14:paraId="3E02323D" w14:textId="78D3A6A0" w:rsidR="00D563BD" w:rsidRPr="00A46DC3" w:rsidRDefault="00D563BD" w:rsidP="00FE7155">
      <w:pPr>
        <w:rPr>
          <w:rFonts w:ascii="Times New Roman" w:hAnsi="Times New Roman" w:cs="Times New Roman"/>
          <w:b/>
          <w:bCs/>
          <w:sz w:val="24"/>
          <w:szCs w:val="24"/>
        </w:rPr>
      </w:pPr>
      <w:r w:rsidRPr="00A46DC3">
        <w:rPr>
          <w:rFonts w:ascii="Times New Roman" w:hAnsi="Times New Roman" w:cs="Times New Roman"/>
          <w:b/>
          <w:bCs/>
          <w:sz w:val="24"/>
          <w:szCs w:val="24"/>
        </w:rPr>
        <w:t>Software Used</w:t>
      </w:r>
    </w:p>
    <w:p w14:paraId="44A75CCF" w14:textId="1C08EE71" w:rsidR="00D563BD" w:rsidRPr="00A46DC3" w:rsidRDefault="00D563BD" w:rsidP="00FE7155">
      <w:pPr>
        <w:rPr>
          <w:rFonts w:ascii="Times New Roman" w:hAnsi="Times New Roman" w:cs="Times New Roman"/>
          <w:sz w:val="24"/>
          <w:szCs w:val="24"/>
        </w:rPr>
      </w:pPr>
      <w:r w:rsidRPr="00A46DC3">
        <w:rPr>
          <w:rFonts w:ascii="Times New Roman" w:hAnsi="Times New Roman" w:cs="Times New Roman"/>
          <w:sz w:val="24"/>
          <w:szCs w:val="24"/>
        </w:rPr>
        <w:t>Microsoft Excel is the software that was used for the data analysis and interpretation. It was used to represent the analysis data, and used tools like tables</w:t>
      </w:r>
      <w:r w:rsidR="000E0FA6" w:rsidRPr="00A46DC3">
        <w:rPr>
          <w:rFonts w:ascii="Times New Roman" w:hAnsi="Times New Roman" w:cs="Times New Roman"/>
          <w:sz w:val="24"/>
          <w:szCs w:val="24"/>
        </w:rPr>
        <w:t xml:space="preserve"> and charts.</w:t>
      </w:r>
    </w:p>
    <w:p w14:paraId="78988374" w14:textId="53FCC34F"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1.7 SCOPE OF THE STUDY</w:t>
      </w:r>
    </w:p>
    <w:p w14:paraId="28F97472" w14:textId="44F761F4" w:rsidR="009B0C1C" w:rsidRPr="00A46DC3" w:rsidRDefault="00223B5D" w:rsidP="009B0C1C">
      <w:pPr>
        <w:rPr>
          <w:rFonts w:ascii="Times New Roman" w:hAnsi="Times New Roman" w:cs="Times New Roman"/>
          <w:sz w:val="24"/>
          <w:szCs w:val="24"/>
        </w:rPr>
      </w:pPr>
      <w:r w:rsidRPr="00A46DC3">
        <w:rPr>
          <w:rFonts w:ascii="Times New Roman" w:hAnsi="Times New Roman" w:cs="Times New Roman"/>
          <w:sz w:val="24"/>
          <w:szCs w:val="24"/>
        </w:rPr>
        <w:t>The study focuses on understanding</w:t>
      </w:r>
      <w:r w:rsidR="008472BA" w:rsidRPr="00A46DC3">
        <w:rPr>
          <w:rFonts w:ascii="Times New Roman" w:hAnsi="Times New Roman" w:cs="Times New Roman"/>
          <w:sz w:val="24"/>
          <w:szCs w:val="24"/>
        </w:rPr>
        <w:t xml:space="preserve"> factors responsible for NPAs in banks and how they tackle the issue of NPAs. The trend of growth in NPAs, impact of NPAs on banks profitability and the recovery mec</w:t>
      </w:r>
      <w:r w:rsidR="00A812F2" w:rsidRPr="00A46DC3">
        <w:rPr>
          <w:rFonts w:ascii="Times New Roman" w:hAnsi="Times New Roman" w:cs="Times New Roman"/>
          <w:sz w:val="24"/>
          <w:szCs w:val="24"/>
        </w:rPr>
        <w:t>hanisms are also analysed. The study is confined to a sample bank i.e., The Federal Bank Lt</w:t>
      </w:r>
      <w:r w:rsidR="00B10767" w:rsidRPr="00A46DC3">
        <w:rPr>
          <w:rFonts w:ascii="Times New Roman" w:hAnsi="Times New Roman" w:cs="Times New Roman"/>
          <w:sz w:val="24"/>
          <w:szCs w:val="24"/>
        </w:rPr>
        <w:t>d. The time period is limited to 201</w:t>
      </w:r>
      <w:r w:rsidR="00B30DF2" w:rsidRPr="00A46DC3">
        <w:rPr>
          <w:rFonts w:ascii="Times New Roman" w:hAnsi="Times New Roman" w:cs="Times New Roman"/>
          <w:sz w:val="24"/>
          <w:szCs w:val="24"/>
        </w:rPr>
        <w:t>9</w:t>
      </w:r>
      <w:r w:rsidR="00B10767" w:rsidRPr="00A46DC3">
        <w:rPr>
          <w:rFonts w:ascii="Times New Roman" w:hAnsi="Times New Roman" w:cs="Times New Roman"/>
          <w:sz w:val="24"/>
          <w:szCs w:val="24"/>
        </w:rPr>
        <w:t xml:space="preserve"> to 2024.</w:t>
      </w:r>
    </w:p>
    <w:p w14:paraId="295A7726" w14:textId="1A6CD2BA"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1.8 LIMITATIONS OF THE STUDY</w:t>
      </w:r>
    </w:p>
    <w:p w14:paraId="3D974FEC" w14:textId="02D2987A" w:rsidR="00B14DBC" w:rsidRPr="00A46DC3" w:rsidRDefault="00B14DBC" w:rsidP="00B14DBC">
      <w:pPr>
        <w:pStyle w:val="ListParagraph"/>
        <w:numPr>
          <w:ilvl w:val="0"/>
          <w:numId w:val="3"/>
        </w:numPr>
        <w:rPr>
          <w:rFonts w:ascii="Times New Roman" w:hAnsi="Times New Roman" w:cs="Times New Roman"/>
          <w:sz w:val="24"/>
          <w:szCs w:val="24"/>
        </w:rPr>
      </w:pPr>
      <w:r w:rsidRPr="00A46DC3">
        <w:rPr>
          <w:rFonts w:ascii="Times New Roman" w:hAnsi="Times New Roman" w:cs="Times New Roman"/>
          <w:sz w:val="24"/>
          <w:szCs w:val="24"/>
        </w:rPr>
        <w:t>The study face challenges related to the availability and reliability of data, especially in accessing complete historical records of NPAs from banks.</w:t>
      </w:r>
    </w:p>
    <w:p w14:paraId="26825ED5" w14:textId="57BD7359" w:rsidR="00B14DBC" w:rsidRPr="00A46DC3" w:rsidRDefault="00B14DBC" w:rsidP="00B14DBC">
      <w:pPr>
        <w:pStyle w:val="ListParagraph"/>
        <w:numPr>
          <w:ilvl w:val="0"/>
          <w:numId w:val="3"/>
        </w:numPr>
        <w:rPr>
          <w:rFonts w:ascii="Times New Roman" w:hAnsi="Times New Roman" w:cs="Times New Roman"/>
          <w:sz w:val="24"/>
          <w:szCs w:val="24"/>
        </w:rPr>
      </w:pPr>
      <w:r w:rsidRPr="00A46DC3">
        <w:rPr>
          <w:rFonts w:ascii="Times New Roman" w:hAnsi="Times New Roman" w:cs="Times New Roman"/>
          <w:sz w:val="24"/>
          <w:szCs w:val="24"/>
        </w:rPr>
        <w:t>Focusing only on selected banks limit the generalizability of the findings.</w:t>
      </w:r>
    </w:p>
    <w:p w14:paraId="6700D1C6" w14:textId="356E8937" w:rsidR="00B14DBC" w:rsidRPr="00A46DC3" w:rsidRDefault="00B14DBC" w:rsidP="00B14DBC">
      <w:pPr>
        <w:pStyle w:val="ListParagraph"/>
        <w:numPr>
          <w:ilvl w:val="0"/>
          <w:numId w:val="3"/>
        </w:numPr>
        <w:rPr>
          <w:rFonts w:ascii="Times New Roman" w:hAnsi="Times New Roman" w:cs="Times New Roman"/>
          <w:sz w:val="24"/>
          <w:szCs w:val="24"/>
        </w:rPr>
      </w:pPr>
      <w:r w:rsidRPr="00A46DC3">
        <w:rPr>
          <w:rFonts w:ascii="Times New Roman" w:hAnsi="Times New Roman" w:cs="Times New Roman"/>
          <w:sz w:val="24"/>
          <w:szCs w:val="24"/>
        </w:rPr>
        <w:t>External economic conditions such as fluctuations in the market may influence NPAs.</w:t>
      </w:r>
    </w:p>
    <w:p w14:paraId="575C8AE9" w14:textId="6A070C12" w:rsidR="00B14DBC" w:rsidRPr="00A46DC3" w:rsidRDefault="00B14DBC" w:rsidP="00B14DBC">
      <w:pPr>
        <w:pStyle w:val="ListParagraph"/>
        <w:numPr>
          <w:ilvl w:val="0"/>
          <w:numId w:val="3"/>
        </w:numPr>
        <w:rPr>
          <w:rFonts w:ascii="Times New Roman" w:hAnsi="Times New Roman" w:cs="Times New Roman"/>
          <w:sz w:val="24"/>
          <w:szCs w:val="24"/>
        </w:rPr>
      </w:pPr>
      <w:r w:rsidRPr="00A46DC3">
        <w:rPr>
          <w:rFonts w:ascii="Times New Roman" w:hAnsi="Times New Roman" w:cs="Times New Roman"/>
          <w:sz w:val="24"/>
          <w:szCs w:val="24"/>
        </w:rPr>
        <w:t>The study is limited by time constraints which is restricted in full understanding and data collection.</w:t>
      </w:r>
    </w:p>
    <w:p w14:paraId="4318E708" w14:textId="51D57720" w:rsidR="002E4104" w:rsidRPr="00A46DC3" w:rsidRDefault="002E4104" w:rsidP="00233930">
      <w:pPr>
        <w:rPr>
          <w:rFonts w:ascii="Times New Roman" w:hAnsi="Times New Roman" w:cs="Times New Roman"/>
          <w:b/>
          <w:bCs/>
          <w:sz w:val="24"/>
          <w:szCs w:val="24"/>
        </w:rPr>
      </w:pPr>
      <w:r w:rsidRPr="00A46DC3">
        <w:rPr>
          <w:rFonts w:ascii="Times New Roman" w:hAnsi="Times New Roman" w:cs="Times New Roman"/>
          <w:b/>
          <w:bCs/>
          <w:sz w:val="24"/>
          <w:szCs w:val="24"/>
        </w:rPr>
        <w:t>1.9 KEYWORDS</w:t>
      </w:r>
    </w:p>
    <w:p w14:paraId="3C114CC7" w14:textId="2963A99E" w:rsidR="00233930" w:rsidRPr="00A46DC3" w:rsidRDefault="00B14DBC" w:rsidP="00B14DBC">
      <w:pPr>
        <w:pStyle w:val="ListParagraph"/>
        <w:numPr>
          <w:ilvl w:val="0"/>
          <w:numId w:val="4"/>
        </w:numPr>
        <w:rPr>
          <w:rFonts w:ascii="Times New Roman" w:hAnsi="Times New Roman" w:cs="Times New Roman"/>
          <w:b/>
          <w:bCs/>
          <w:sz w:val="24"/>
          <w:szCs w:val="24"/>
        </w:rPr>
      </w:pPr>
      <w:r w:rsidRPr="00A46DC3">
        <w:rPr>
          <w:rFonts w:ascii="Times New Roman" w:hAnsi="Times New Roman" w:cs="Times New Roman"/>
          <w:b/>
          <w:bCs/>
          <w:sz w:val="24"/>
          <w:szCs w:val="24"/>
        </w:rPr>
        <w:t xml:space="preserve">Non – Performing Assets (NPAs): </w:t>
      </w:r>
      <w:r w:rsidRPr="00A46DC3">
        <w:rPr>
          <w:rFonts w:ascii="Times New Roman" w:hAnsi="Times New Roman" w:cs="Times New Roman"/>
          <w:sz w:val="24"/>
          <w:szCs w:val="24"/>
        </w:rPr>
        <w:t>Non-Performing Assets (NPAs) are loans or advances issued by banks or financial institutions that no longer bring in money for the lender since the borrower has failed to make payments on the principal and interest of the loan for at least 90 days.</w:t>
      </w:r>
    </w:p>
    <w:p w14:paraId="7D78AB2B" w14:textId="2994BF4D" w:rsidR="00B14DBC" w:rsidRPr="00A46DC3" w:rsidRDefault="00B14DBC" w:rsidP="00CC0492">
      <w:pPr>
        <w:pStyle w:val="ListParagraph"/>
        <w:numPr>
          <w:ilvl w:val="0"/>
          <w:numId w:val="4"/>
        </w:numPr>
        <w:rPr>
          <w:rFonts w:ascii="Times New Roman" w:hAnsi="Times New Roman" w:cs="Times New Roman"/>
          <w:b/>
          <w:bCs/>
          <w:sz w:val="24"/>
          <w:szCs w:val="24"/>
        </w:rPr>
      </w:pPr>
      <w:r w:rsidRPr="00A46DC3">
        <w:rPr>
          <w:rFonts w:ascii="Times New Roman" w:hAnsi="Times New Roman" w:cs="Times New Roman"/>
          <w:b/>
          <w:bCs/>
          <w:sz w:val="24"/>
          <w:szCs w:val="24"/>
        </w:rPr>
        <w:t>Banking Sector:</w:t>
      </w:r>
      <w:r w:rsidRPr="00A46DC3">
        <w:rPr>
          <w:rFonts w:ascii="Times New Roman" w:hAnsi="Times New Roman" w:cs="Times New Roman"/>
          <w:sz w:val="24"/>
          <w:szCs w:val="24"/>
        </w:rPr>
        <w:t xml:space="preserve"> </w:t>
      </w:r>
      <w:r w:rsidR="00CC0492" w:rsidRPr="00A46DC3">
        <w:rPr>
          <w:rFonts w:ascii="Times New Roman" w:hAnsi="Times New Roman" w:cs="Times New Roman"/>
          <w:sz w:val="24"/>
          <w:szCs w:val="24"/>
        </w:rPr>
        <w:t>The banking industry includes systems of financial institutions called banks that help people store and use their money. Banks offer clients the opportunity to open accounts for different purposes, like saving or investing their money. The banking industry is also valuable to the economy, as it provides resources for individuals, families and organizations to use for transactions and investments. One way that the banking industry does this is by organizing and distributing loans for applicants.</w:t>
      </w:r>
    </w:p>
    <w:p w14:paraId="4FE3CB46" w14:textId="38AE9BC1" w:rsidR="00B14DBC" w:rsidRPr="00A46DC3" w:rsidRDefault="00B14DBC" w:rsidP="00CC0492">
      <w:pPr>
        <w:pStyle w:val="ListParagraph"/>
        <w:numPr>
          <w:ilvl w:val="0"/>
          <w:numId w:val="4"/>
        </w:numPr>
        <w:rPr>
          <w:rFonts w:ascii="Times New Roman" w:hAnsi="Times New Roman" w:cs="Times New Roman"/>
          <w:b/>
          <w:bCs/>
          <w:sz w:val="24"/>
          <w:szCs w:val="24"/>
        </w:rPr>
      </w:pPr>
      <w:r w:rsidRPr="00A46DC3">
        <w:rPr>
          <w:rFonts w:ascii="Times New Roman" w:hAnsi="Times New Roman" w:cs="Times New Roman"/>
          <w:b/>
          <w:bCs/>
          <w:sz w:val="24"/>
          <w:szCs w:val="24"/>
        </w:rPr>
        <w:t>Financial Stability:</w:t>
      </w:r>
      <w:r w:rsidR="00CC0492" w:rsidRPr="00A46DC3">
        <w:rPr>
          <w:rFonts w:ascii="Times New Roman" w:hAnsi="Times New Roman" w:cs="Times New Roman"/>
          <w:b/>
          <w:bCs/>
          <w:sz w:val="24"/>
          <w:szCs w:val="24"/>
        </w:rPr>
        <w:t xml:space="preserve"> </w:t>
      </w:r>
      <w:r w:rsidR="00CC0492" w:rsidRPr="00A46DC3">
        <w:rPr>
          <w:rFonts w:ascii="Times New Roman" w:hAnsi="Times New Roman" w:cs="Times New Roman"/>
          <w:sz w:val="24"/>
          <w:szCs w:val="24"/>
        </w:rPr>
        <w:t>Financial stability can be defined as “a condition in which the financial system is not unstable". It can also mean a condition in which the three components of the financial system -- financial institutions, financial markets and financial infrastructure -- are stable.</w:t>
      </w:r>
    </w:p>
    <w:p w14:paraId="1B55E300" w14:textId="0BEF3178" w:rsidR="00B14DBC" w:rsidRPr="00A46DC3" w:rsidRDefault="00B14DBC" w:rsidP="00CC0492">
      <w:pPr>
        <w:pStyle w:val="ListParagraph"/>
        <w:numPr>
          <w:ilvl w:val="0"/>
          <w:numId w:val="4"/>
        </w:numPr>
        <w:rPr>
          <w:rFonts w:ascii="Times New Roman" w:hAnsi="Times New Roman" w:cs="Times New Roman"/>
          <w:sz w:val="24"/>
          <w:szCs w:val="24"/>
        </w:rPr>
      </w:pPr>
      <w:r w:rsidRPr="00A46DC3">
        <w:rPr>
          <w:rFonts w:ascii="Times New Roman" w:hAnsi="Times New Roman" w:cs="Times New Roman"/>
          <w:b/>
          <w:bCs/>
          <w:sz w:val="24"/>
          <w:szCs w:val="24"/>
        </w:rPr>
        <w:t>Risk Management:</w:t>
      </w:r>
      <w:r w:rsidR="00CC0492" w:rsidRPr="00A46DC3">
        <w:rPr>
          <w:rFonts w:ascii="Times New Roman" w:hAnsi="Times New Roman" w:cs="Times New Roman"/>
          <w:b/>
          <w:bCs/>
          <w:sz w:val="24"/>
          <w:szCs w:val="24"/>
        </w:rPr>
        <w:t xml:space="preserve"> </w:t>
      </w:r>
      <w:r w:rsidR="00CC0492" w:rsidRPr="00A46DC3">
        <w:rPr>
          <w:rFonts w:ascii="Times New Roman" w:hAnsi="Times New Roman" w:cs="Times New Roman"/>
          <w:sz w:val="24"/>
          <w:szCs w:val="24"/>
        </w:rPr>
        <w:t>Risk management is the process of identifying, assessing and controlling threats to an organization's capital, earnings and operations. These risks stem from a variety of sources, including financial uncertainties, legal liabilities, technology issues, strategic management errors, accidents and natural disasters.</w:t>
      </w:r>
    </w:p>
    <w:p w14:paraId="2895401E" w14:textId="71A35299" w:rsidR="00B14DBC" w:rsidRPr="00A46DC3" w:rsidRDefault="00B14DBC" w:rsidP="00CC0492">
      <w:pPr>
        <w:pStyle w:val="ListParagraph"/>
        <w:numPr>
          <w:ilvl w:val="0"/>
          <w:numId w:val="4"/>
        </w:numPr>
        <w:rPr>
          <w:rFonts w:ascii="Times New Roman" w:hAnsi="Times New Roman" w:cs="Times New Roman"/>
          <w:sz w:val="24"/>
          <w:szCs w:val="24"/>
        </w:rPr>
      </w:pPr>
      <w:r w:rsidRPr="00A46DC3">
        <w:rPr>
          <w:rFonts w:ascii="Times New Roman" w:hAnsi="Times New Roman" w:cs="Times New Roman"/>
          <w:b/>
          <w:bCs/>
          <w:sz w:val="24"/>
          <w:szCs w:val="24"/>
        </w:rPr>
        <w:t>Recovery Strategies:</w:t>
      </w:r>
      <w:r w:rsidR="00CC0492" w:rsidRPr="00A46DC3">
        <w:rPr>
          <w:rFonts w:ascii="Times New Roman" w:hAnsi="Times New Roman" w:cs="Times New Roman"/>
          <w:b/>
          <w:bCs/>
          <w:sz w:val="24"/>
          <w:szCs w:val="24"/>
        </w:rPr>
        <w:t xml:space="preserve"> </w:t>
      </w:r>
      <w:r w:rsidR="00CC0492" w:rsidRPr="00A46DC3">
        <w:rPr>
          <w:rFonts w:ascii="Times New Roman" w:hAnsi="Times New Roman" w:cs="Times New Roman"/>
          <w:sz w:val="24"/>
          <w:szCs w:val="24"/>
        </w:rPr>
        <w:t>The loan recovery process is an essential mechanism for financial institutions, designed to address situations where borrowers are unable to meet their loan repayment commitments. It involves a sequence of regulated steps that lenders follow to recover the due amounts from defaulting borrowers.</w:t>
      </w:r>
    </w:p>
    <w:p w14:paraId="250062D2" w14:textId="77777777" w:rsidR="005F2F45" w:rsidRPr="00A46DC3" w:rsidRDefault="005F2F45" w:rsidP="005F2F45">
      <w:pPr>
        <w:rPr>
          <w:rFonts w:ascii="Times New Roman" w:hAnsi="Times New Roman" w:cs="Times New Roman"/>
          <w:sz w:val="24"/>
          <w:szCs w:val="24"/>
        </w:rPr>
      </w:pPr>
    </w:p>
    <w:p w14:paraId="3DD9D3B5" w14:textId="77777777" w:rsidR="005F2F45" w:rsidRPr="00A46DC3" w:rsidRDefault="005F2F45" w:rsidP="005F2F45">
      <w:pPr>
        <w:rPr>
          <w:rFonts w:ascii="Times New Roman" w:hAnsi="Times New Roman" w:cs="Times New Roman"/>
          <w:sz w:val="24"/>
          <w:szCs w:val="24"/>
        </w:rPr>
      </w:pPr>
    </w:p>
    <w:p w14:paraId="35F3D2D0" w14:textId="77777777" w:rsidR="005F2F45" w:rsidRPr="00A46DC3" w:rsidRDefault="005F2F45" w:rsidP="005F2F45">
      <w:pPr>
        <w:rPr>
          <w:rFonts w:ascii="Times New Roman" w:hAnsi="Times New Roman" w:cs="Times New Roman"/>
          <w:sz w:val="24"/>
          <w:szCs w:val="24"/>
        </w:rPr>
      </w:pPr>
    </w:p>
    <w:p w14:paraId="0EF8D81A" w14:textId="77777777" w:rsidR="005F2F45" w:rsidRPr="00A46DC3" w:rsidRDefault="005F2F45" w:rsidP="005F2F45">
      <w:pPr>
        <w:rPr>
          <w:rFonts w:ascii="Times New Roman" w:hAnsi="Times New Roman" w:cs="Times New Roman"/>
          <w:sz w:val="24"/>
          <w:szCs w:val="24"/>
        </w:rPr>
      </w:pPr>
    </w:p>
    <w:p w14:paraId="09758A54" w14:textId="77777777" w:rsidR="005F2F45" w:rsidRPr="00A46DC3" w:rsidRDefault="005F2F45" w:rsidP="005F2F45">
      <w:pPr>
        <w:rPr>
          <w:rFonts w:ascii="Times New Roman" w:hAnsi="Times New Roman" w:cs="Times New Roman"/>
          <w:sz w:val="24"/>
          <w:szCs w:val="24"/>
        </w:rPr>
      </w:pPr>
    </w:p>
    <w:p w14:paraId="6126E121" w14:textId="77777777" w:rsidR="005F2F45" w:rsidRPr="00A46DC3" w:rsidRDefault="005F2F45" w:rsidP="005F2F45">
      <w:pPr>
        <w:rPr>
          <w:rFonts w:ascii="Times New Roman" w:hAnsi="Times New Roman" w:cs="Times New Roman"/>
          <w:sz w:val="24"/>
          <w:szCs w:val="24"/>
        </w:rPr>
      </w:pPr>
    </w:p>
    <w:p w14:paraId="72A4D970" w14:textId="77777777" w:rsidR="005F2F45" w:rsidRPr="00A46DC3" w:rsidRDefault="005F2F45" w:rsidP="005F2F45">
      <w:pPr>
        <w:rPr>
          <w:rFonts w:ascii="Times New Roman" w:hAnsi="Times New Roman" w:cs="Times New Roman"/>
          <w:sz w:val="24"/>
          <w:szCs w:val="24"/>
        </w:rPr>
      </w:pPr>
    </w:p>
    <w:p w14:paraId="7F9EC235" w14:textId="77777777" w:rsidR="005F2F45" w:rsidRPr="00A46DC3" w:rsidRDefault="005F2F45" w:rsidP="005F2F45">
      <w:pPr>
        <w:rPr>
          <w:rFonts w:ascii="Times New Roman" w:hAnsi="Times New Roman" w:cs="Times New Roman"/>
          <w:sz w:val="24"/>
          <w:szCs w:val="24"/>
        </w:rPr>
      </w:pPr>
    </w:p>
    <w:p w14:paraId="368B0037" w14:textId="77777777" w:rsidR="005F2F45" w:rsidRPr="00A46DC3" w:rsidRDefault="005F2F45" w:rsidP="005F2F45">
      <w:pPr>
        <w:rPr>
          <w:rFonts w:ascii="Times New Roman" w:hAnsi="Times New Roman" w:cs="Times New Roman"/>
          <w:sz w:val="24"/>
          <w:szCs w:val="24"/>
        </w:rPr>
      </w:pPr>
    </w:p>
    <w:p w14:paraId="06DB3406" w14:textId="77777777" w:rsidR="005F2F45" w:rsidRPr="00A46DC3" w:rsidRDefault="005F2F45" w:rsidP="005F2F45">
      <w:pPr>
        <w:rPr>
          <w:rFonts w:ascii="Times New Roman" w:hAnsi="Times New Roman" w:cs="Times New Roman"/>
          <w:sz w:val="24"/>
          <w:szCs w:val="24"/>
        </w:rPr>
      </w:pPr>
    </w:p>
    <w:p w14:paraId="76D0CD43" w14:textId="77777777" w:rsidR="005F2F45" w:rsidRPr="00A46DC3" w:rsidRDefault="005F2F45" w:rsidP="005F2F45">
      <w:pPr>
        <w:rPr>
          <w:rFonts w:ascii="Times New Roman" w:hAnsi="Times New Roman" w:cs="Times New Roman"/>
          <w:sz w:val="24"/>
          <w:szCs w:val="24"/>
        </w:rPr>
      </w:pPr>
    </w:p>
    <w:p w14:paraId="40047750" w14:textId="77777777" w:rsidR="005F2F45" w:rsidRPr="00A46DC3" w:rsidRDefault="005F2F45" w:rsidP="005F2F45">
      <w:pPr>
        <w:rPr>
          <w:rFonts w:ascii="Times New Roman" w:hAnsi="Times New Roman" w:cs="Times New Roman"/>
          <w:sz w:val="24"/>
          <w:szCs w:val="24"/>
        </w:rPr>
      </w:pPr>
    </w:p>
    <w:p w14:paraId="7B024056" w14:textId="77777777" w:rsidR="005F2F45" w:rsidRPr="00A46DC3" w:rsidRDefault="005F2F45" w:rsidP="005F2F45">
      <w:pPr>
        <w:rPr>
          <w:rFonts w:ascii="Times New Roman" w:hAnsi="Times New Roman" w:cs="Times New Roman"/>
          <w:sz w:val="24"/>
          <w:szCs w:val="24"/>
        </w:rPr>
      </w:pPr>
    </w:p>
    <w:p w14:paraId="49D3F73B" w14:textId="77777777" w:rsidR="005F2F45" w:rsidRPr="00A46DC3" w:rsidRDefault="005F2F45" w:rsidP="005F2F45">
      <w:pPr>
        <w:rPr>
          <w:rFonts w:ascii="Times New Roman" w:hAnsi="Times New Roman" w:cs="Times New Roman"/>
          <w:sz w:val="24"/>
          <w:szCs w:val="24"/>
        </w:rPr>
      </w:pPr>
    </w:p>
    <w:p w14:paraId="35DF5F23" w14:textId="77777777" w:rsidR="00826A86" w:rsidRPr="00A46DC3" w:rsidRDefault="00826A86" w:rsidP="00A373D9">
      <w:pPr>
        <w:rPr>
          <w:rFonts w:ascii="Times New Roman" w:hAnsi="Times New Roman" w:cs="Times New Roman"/>
          <w:sz w:val="24"/>
          <w:szCs w:val="24"/>
        </w:rPr>
      </w:pPr>
    </w:p>
    <w:p w14:paraId="7D26A645" w14:textId="77777777" w:rsidR="00A373D9" w:rsidRPr="00A46DC3" w:rsidRDefault="00A373D9" w:rsidP="00A373D9">
      <w:pPr>
        <w:rPr>
          <w:rFonts w:ascii="Times New Roman" w:hAnsi="Times New Roman" w:cs="Times New Roman"/>
          <w:sz w:val="24"/>
          <w:szCs w:val="24"/>
        </w:rPr>
      </w:pPr>
    </w:p>
    <w:p w14:paraId="0092430F" w14:textId="77777777" w:rsidR="00B30DF2" w:rsidRPr="00A46DC3" w:rsidRDefault="00B30DF2" w:rsidP="00A373D9">
      <w:pPr>
        <w:rPr>
          <w:rFonts w:ascii="Times New Roman" w:hAnsi="Times New Roman" w:cs="Times New Roman"/>
          <w:b/>
          <w:bCs/>
          <w:sz w:val="24"/>
          <w:szCs w:val="24"/>
        </w:rPr>
      </w:pPr>
    </w:p>
    <w:p w14:paraId="4E6D165D" w14:textId="77777777" w:rsidR="00000DC0" w:rsidRPr="00A46DC3" w:rsidRDefault="00000DC0" w:rsidP="00A373D9">
      <w:pPr>
        <w:rPr>
          <w:rFonts w:ascii="Times New Roman" w:hAnsi="Times New Roman" w:cs="Times New Roman"/>
          <w:b/>
          <w:bCs/>
          <w:sz w:val="24"/>
          <w:szCs w:val="24"/>
        </w:rPr>
      </w:pPr>
    </w:p>
    <w:p w14:paraId="626C7DB0" w14:textId="180C95E6" w:rsidR="00123B79" w:rsidRPr="00A46DC3" w:rsidRDefault="007B7A98" w:rsidP="007B7A98">
      <w:pPr>
        <w:jc w:val="center"/>
        <w:rPr>
          <w:rFonts w:ascii="Times New Roman" w:hAnsi="Times New Roman" w:cs="Times New Roman"/>
          <w:b/>
          <w:bCs/>
          <w:sz w:val="24"/>
          <w:szCs w:val="24"/>
        </w:rPr>
      </w:pPr>
      <w:r w:rsidRPr="00A46DC3">
        <w:rPr>
          <w:rFonts w:ascii="Times New Roman" w:hAnsi="Times New Roman" w:cs="Times New Roman"/>
          <w:b/>
          <w:bCs/>
          <w:sz w:val="24"/>
          <w:szCs w:val="24"/>
        </w:rPr>
        <w:t>CHAPTER 2: LITERATURE REVIEW</w:t>
      </w:r>
    </w:p>
    <w:p w14:paraId="47AE0405" w14:textId="77777777" w:rsidR="0034648C" w:rsidRPr="00A46DC3" w:rsidRDefault="0034648C" w:rsidP="007B7A98">
      <w:pPr>
        <w:jc w:val="center"/>
        <w:rPr>
          <w:rFonts w:ascii="Times New Roman" w:hAnsi="Times New Roman" w:cs="Times New Roman"/>
          <w:b/>
          <w:bCs/>
          <w:sz w:val="24"/>
          <w:szCs w:val="24"/>
        </w:rPr>
      </w:pPr>
    </w:p>
    <w:p w14:paraId="2F78E22E" w14:textId="77777777" w:rsidR="0034648C" w:rsidRPr="00A46DC3" w:rsidRDefault="0034648C" w:rsidP="007B7A98">
      <w:pPr>
        <w:jc w:val="center"/>
        <w:rPr>
          <w:rFonts w:ascii="Times New Roman" w:hAnsi="Times New Roman" w:cs="Times New Roman"/>
          <w:b/>
          <w:bCs/>
          <w:sz w:val="24"/>
          <w:szCs w:val="24"/>
        </w:rPr>
      </w:pPr>
    </w:p>
    <w:p w14:paraId="007F3F55" w14:textId="77777777" w:rsidR="0034648C" w:rsidRPr="00A46DC3" w:rsidRDefault="0034648C" w:rsidP="007B7A98">
      <w:pPr>
        <w:jc w:val="center"/>
        <w:rPr>
          <w:rFonts w:ascii="Times New Roman" w:hAnsi="Times New Roman" w:cs="Times New Roman"/>
          <w:b/>
          <w:bCs/>
          <w:sz w:val="24"/>
          <w:szCs w:val="24"/>
        </w:rPr>
      </w:pPr>
    </w:p>
    <w:p w14:paraId="102A1E52" w14:textId="77777777" w:rsidR="0034648C" w:rsidRPr="00A46DC3" w:rsidRDefault="0034648C" w:rsidP="007B7A98">
      <w:pPr>
        <w:jc w:val="center"/>
        <w:rPr>
          <w:rFonts w:ascii="Times New Roman" w:hAnsi="Times New Roman" w:cs="Times New Roman"/>
          <w:b/>
          <w:bCs/>
          <w:sz w:val="24"/>
          <w:szCs w:val="24"/>
        </w:rPr>
      </w:pPr>
    </w:p>
    <w:p w14:paraId="5672EC78" w14:textId="77777777" w:rsidR="0034648C" w:rsidRPr="00A46DC3" w:rsidRDefault="0034648C" w:rsidP="007B7A98">
      <w:pPr>
        <w:jc w:val="center"/>
        <w:rPr>
          <w:rFonts w:ascii="Times New Roman" w:hAnsi="Times New Roman" w:cs="Times New Roman"/>
          <w:b/>
          <w:bCs/>
          <w:sz w:val="24"/>
          <w:szCs w:val="24"/>
        </w:rPr>
      </w:pPr>
    </w:p>
    <w:p w14:paraId="5826614F" w14:textId="77777777" w:rsidR="0034648C" w:rsidRPr="00A46DC3" w:rsidRDefault="0034648C" w:rsidP="007B7A98">
      <w:pPr>
        <w:jc w:val="center"/>
        <w:rPr>
          <w:rFonts w:ascii="Times New Roman" w:hAnsi="Times New Roman" w:cs="Times New Roman"/>
          <w:b/>
          <w:bCs/>
          <w:sz w:val="24"/>
          <w:szCs w:val="24"/>
        </w:rPr>
      </w:pPr>
    </w:p>
    <w:p w14:paraId="0BD28C73" w14:textId="77777777" w:rsidR="0034648C" w:rsidRPr="00A46DC3" w:rsidRDefault="0034648C" w:rsidP="007B7A98">
      <w:pPr>
        <w:jc w:val="center"/>
        <w:rPr>
          <w:rFonts w:ascii="Times New Roman" w:hAnsi="Times New Roman" w:cs="Times New Roman"/>
          <w:b/>
          <w:bCs/>
          <w:sz w:val="24"/>
          <w:szCs w:val="24"/>
        </w:rPr>
      </w:pPr>
    </w:p>
    <w:p w14:paraId="14EE24D9" w14:textId="77777777" w:rsidR="0034648C" w:rsidRPr="00A46DC3" w:rsidRDefault="0034648C" w:rsidP="007B7A98">
      <w:pPr>
        <w:jc w:val="center"/>
        <w:rPr>
          <w:rFonts w:ascii="Times New Roman" w:hAnsi="Times New Roman" w:cs="Times New Roman"/>
          <w:b/>
          <w:bCs/>
          <w:sz w:val="24"/>
          <w:szCs w:val="24"/>
        </w:rPr>
      </w:pPr>
    </w:p>
    <w:p w14:paraId="4D3BDAAC" w14:textId="77777777" w:rsidR="0034648C" w:rsidRPr="00A46DC3" w:rsidRDefault="0034648C" w:rsidP="007B7A98">
      <w:pPr>
        <w:jc w:val="center"/>
        <w:rPr>
          <w:rFonts w:ascii="Times New Roman" w:hAnsi="Times New Roman" w:cs="Times New Roman"/>
          <w:b/>
          <w:bCs/>
          <w:sz w:val="24"/>
          <w:szCs w:val="24"/>
        </w:rPr>
      </w:pPr>
    </w:p>
    <w:p w14:paraId="5E232AAF" w14:textId="77777777" w:rsidR="00724207" w:rsidRPr="00A46DC3" w:rsidRDefault="00724207" w:rsidP="007B7A98">
      <w:pPr>
        <w:rPr>
          <w:rFonts w:ascii="Times New Roman" w:hAnsi="Times New Roman" w:cs="Times New Roman"/>
          <w:b/>
          <w:bCs/>
          <w:sz w:val="24"/>
          <w:szCs w:val="24"/>
        </w:rPr>
      </w:pPr>
    </w:p>
    <w:p w14:paraId="63F93FE6" w14:textId="77777777" w:rsidR="004B61FA" w:rsidRPr="00A46DC3" w:rsidRDefault="004B61FA" w:rsidP="007B7A98">
      <w:pPr>
        <w:rPr>
          <w:rFonts w:ascii="Times New Roman" w:hAnsi="Times New Roman" w:cs="Times New Roman"/>
          <w:b/>
          <w:bCs/>
          <w:sz w:val="24"/>
          <w:szCs w:val="24"/>
        </w:rPr>
      </w:pPr>
    </w:p>
    <w:p w14:paraId="60652F68" w14:textId="77777777" w:rsidR="003E5398" w:rsidRPr="00A46DC3" w:rsidRDefault="003E5398" w:rsidP="007B7A98">
      <w:pPr>
        <w:rPr>
          <w:rFonts w:ascii="Times New Roman" w:hAnsi="Times New Roman" w:cs="Times New Roman"/>
          <w:sz w:val="24"/>
          <w:szCs w:val="24"/>
        </w:rPr>
      </w:pPr>
    </w:p>
    <w:p w14:paraId="3994E72C" w14:textId="77777777" w:rsidR="003E5398" w:rsidRPr="00A46DC3" w:rsidRDefault="003E5398" w:rsidP="007B7A98">
      <w:pPr>
        <w:rPr>
          <w:rFonts w:ascii="Times New Roman" w:hAnsi="Times New Roman" w:cs="Times New Roman"/>
          <w:sz w:val="24"/>
          <w:szCs w:val="24"/>
        </w:rPr>
      </w:pPr>
    </w:p>
    <w:p w14:paraId="703800CB" w14:textId="76ABD846" w:rsidR="007B7A98" w:rsidRPr="00A46DC3" w:rsidRDefault="00903386" w:rsidP="007B7A98">
      <w:pPr>
        <w:rPr>
          <w:rFonts w:ascii="Times New Roman" w:hAnsi="Times New Roman" w:cs="Times New Roman"/>
          <w:sz w:val="24"/>
          <w:szCs w:val="24"/>
        </w:rPr>
      </w:pPr>
      <w:r w:rsidRPr="00A46DC3">
        <w:rPr>
          <w:rFonts w:ascii="Times New Roman" w:hAnsi="Times New Roman" w:cs="Times New Roman"/>
          <w:sz w:val="24"/>
          <w:szCs w:val="24"/>
        </w:rPr>
        <w:t>There are many authors who have conducted research relating to this Topic.</w:t>
      </w:r>
      <w:r w:rsidR="00A570BA" w:rsidRPr="00A46DC3">
        <w:rPr>
          <w:rFonts w:ascii="Times New Roman" w:hAnsi="Times New Roman" w:cs="Times New Roman"/>
          <w:sz w:val="24"/>
          <w:szCs w:val="24"/>
        </w:rPr>
        <w:t xml:space="preserve"> This chapter revie</w:t>
      </w:r>
      <w:r w:rsidR="007B2EB8" w:rsidRPr="00A46DC3">
        <w:rPr>
          <w:rFonts w:ascii="Times New Roman" w:hAnsi="Times New Roman" w:cs="Times New Roman"/>
          <w:sz w:val="24"/>
          <w:szCs w:val="24"/>
        </w:rPr>
        <w:t xml:space="preserve">ws literature by few authors in </w:t>
      </w:r>
      <w:r w:rsidR="00210A45" w:rsidRPr="00A46DC3">
        <w:rPr>
          <w:rFonts w:ascii="Times New Roman" w:hAnsi="Times New Roman" w:cs="Times New Roman"/>
          <w:sz w:val="24"/>
          <w:szCs w:val="24"/>
        </w:rPr>
        <w:t xml:space="preserve">this </w:t>
      </w:r>
      <w:r w:rsidR="007B2EB8" w:rsidRPr="00A46DC3">
        <w:rPr>
          <w:rFonts w:ascii="Times New Roman" w:hAnsi="Times New Roman" w:cs="Times New Roman"/>
          <w:sz w:val="24"/>
          <w:szCs w:val="24"/>
        </w:rPr>
        <w:t>particular topic</w:t>
      </w:r>
      <w:r w:rsidR="00210A45" w:rsidRPr="00A46DC3">
        <w:rPr>
          <w:rFonts w:ascii="Times New Roman" w:hAnsi="Times New Roman" w:cs="Times New Roman"/>
          <w:sz w:val="24"/>
          <w:szCs w:val="24"/>
        </w:rPr>
        <w:t xml:space="preserve">. We have reviewed some literature </w:t>
      </w:r>
      <w:r w:rsidR="00B41E75" w:rsidRPr="00A46DC3">
        <w:rPr>
          <w:rFonts w:ascii="Times New Roman" w:hAnsi="Times New Roman" w:cs="Times New Roman"/>
          <w:sz w:val="24"/>
          <w:szCs w:val="24"/>
        </w:rPr>
        <w:t>relating to this topic by those authors.</w:t>
      </w:r>
    </w:p>
    <w:p w14:paraId="1BE93A4B" w14:textId="77777777" w:rsidR="00A24A0B" w:rsidRPr="00A46DC3" w:rsidRDefault="00A24A0B" w:rsidP="007B7A98">
      <w:pPr>
        <w:rPr>
          <w:rFonts w:ascii="Times New Roman" w:hAnsi="Times New Roman" w:cs="Times New Roman"/>
          <w:sz w:val="24"/>
          <w:szCs w:val="24"/>
        </w:rPr>
      </w:pPr>
    </w:p>
    <w:p w14:paraId="14D1782A" w14:textId="77777777" w:rsidR="005B05F3" w:rsidRPr="00A46DC3" w:rsidRDefault="005B05F3" w:rsidP="005B05F3">
      <w:pPr>
        <w:tabs>
          <w:tab w:val="left" w:pos="5304"/>
        </w:tabs>
        <w:rPr>
          <w:rFonts w:ascii="Times New Roman" w:hAnsi="Times New Roman" w:cs="Times New Roman"/>
          <w:sz w:val="24"/>
          <w:szCs w:val="24"/>
        </w:rPr>
      </w:pPr>
      <w:r w:rsidRPr="00A46DC3">
        <w:rPr>
          <w:rFonts w:ascii="Times New Roman" w:hAnsi="Times New Roman" w:cs="Times New Roman"/>
          <w:b/>
          <w:bCs/>
          <w:sz w:val="24"/>
          <w:szCs w:val="24"/>
        </w:rPr>
        <w:t>Santosh Kumar Das and Kushboo Uppal (2021) -</w:t>
      </w:r>
      <w:r w:rsidRPr="00A46DC3">
        <w:rPr>
          <w:rFonts w:ascii="Times New Roman" w:hAnsi="Times New Roman" w:cs="Times New Roman"/>
          <w:sz w:val="24"/>
          <w:szCs w:val="24"/>
        </w:rPr>
        <w:t xml:space="preserve"> As financial intermediaries, the commercial banks to a large extent depend on the performance of their lending as a critical source of earning. Due to increasing loan failures, the share of non-performing advances has increased substantially in recent years, thereby adversely impacting their profitability. The paper has examined the NPAs and profitability relationship by estimating the determinants of profitability of 39 public sector and private banks for the time period from 2005 to 2019. Using a set of bank specific and macroeconomic predictors of profitability, we found that NPA has negative impact on the rate of profit of the Indian banks. The study suggests that the banks must reduce their NPAs and operating cost to improve their profitability.</w:t>
      </w:r>
    </w:p>
    <w:p w14:paraId="09E9DDB5" w14:textId="77777777" w:rsidR="005B05F3" w:rsidRPr="00A46DC3" w:rsidRDefault="005B05F3" w:rsidP="005B05F3">
      <w:pPr>
        <w:tabs>
          <w:tab w:val="left" w:pos="5304"/>
        </w:tabs>
        <w:rPr>
          <w:rFonts w:ascii="Times New Roman" w:hAnsi="Times New Roman" w:cs="Times New Roman"/>
          <w:sz w:val="24"/>
          <w:szCs w:val="24"/>
        </w:rPr>
      </w:pPr>
    </w:p>
    <w:p w14:paraId="238DF608" w14:textId="77777777" w:rsidR="005B05F3" w:rsidRPr="00A46DC3" w:rsidRDefault="005B05F3" w:rsidP="005B05F3">
      <w:pPr>
        <w:tabs>
          <w:tab w:val="left" w:pos="5304"/>
        </w:tabs>
        <w:rPr>
          <w:rFonts w:ascii="Times New Roman" w:hAnsi="Times New Roman" w:cs="Times New Roman"/>
          <w:sz w:val="24"/>
          <w:szCs w:val="24"/>
        </w:rPr>
      </w:pPr>
      <w:r w:rsidRPr="00A46DC3">
        <w:rPr>
          <w:rFonts w:ascii="Times New Roman" w:hAnsi="Times New Roman" w:cs="Times New Roman"/>
          <w:b/>
          <w:bCs/>
          <w:sz w:val="24"/>
          <w:szCs w:val="24"/>
        </w:rPr>
        <w:t>Dr. Ritu Wadhwa, Mr. Kartik Ramaswamy (2020) -</w:t>
      </w:r>
      <w:r w:rsidRPr="00A46DC3">
        <w:rPr>
          <w:rFonts w:ascii="Times New Roman" w:hAnsi="Times New Roman" w:cs="Times New Roman"/>
          <w:sz w:val="24"/>
          <w:szCs w:val="24"/>
        </w:rPr>
        <w:t xml:space="preserve"> The main source of growth for Indian Economy is Banks. Everyone has different needs like someone require loan to buy a house, to buy an equipment for farming etc. and these needs are fulfilled by the financial sector of India which comprises of banks, NBFC, cooperative societies etc. NPA (Non-Performing Asset) is a critical factor which has adversely impacted the development and growth of the economy. This research discusses the impact of NPAs on the profits of banks. This research attempts to analyse the impact of few important financial heads on NPAs of banks and to suggest on effective management of NPAs. According to RBI data, five banks (public and private) with highest NPAs were taken for the study for period 2014-2015 to 2018-2019. The research applied correlation analysis to compute the relationship between net profits and NPAs and multiple regression analysis to determine the impact of important financial heads on NPAs.</w:t>
      </w:r>
    </w:p>
    <w:p w14:paraId="2D64F32B" w14:textId="77777777" w:rsidR="005B05F3" w:rsidRPr="00A46DC3" w:rsidRDefault="005B05F3" w:rsidP="007B7A98">
      <w:pPr>
        <w:rPr>
          <w:rFonts w:ascii="Times New Roman" w:hAnsi="Times New Roman" w:cs="Times New Roman"/>
          <w:sz w:val="24"/>
          <w:szCs w:val="24"/>
        </w:rPr>
      </w:pPr>
    </w:p>
    <w:p w14:paraId="58446595" w14:textId="77777777" w:rsidR="005B05F3" w:rsidRPr="00A46DC3" w:rsidRDefault="005B05F3" w:rsidP="005B05F3">
      <w:pPr>
        <w:tabs>
          <w:tab w:val="left" w:pos="5304"/>
        </w:tabs>
        <w:rPr>
          <w:rFonts w:ascii="Times New Roman" w:hAnsi="Times New Roman" w:cs="Times New Roman"/>
          <w:sz w:val="24"/>
          <w:szCs w:val="24"/>
        </w:rPr>
      </w:pPr>
      <w:r w:rsidRPr="00A46DC3">
        <w:rPr>
          <w:rFonts w:ascii="Times New Roman" w:hAnsi="Times New Roman" w:cs="Times New Roman"/>
          <w:b/>
          <w:bCs/>
          <w:sz w:val="24"/>
          <w:szCs w:val="24"/>
        </w:rPr>
        <w:t>Jaslene Kaur Bawa, Vinay Goyal, S.K. Mitra, Sankarshan Basu (2019) -</w:t>
      </w:r>
      <w:r w:rsidRPr="00A46DC3">
        <w:rPr>
          <w:rFonts w:ascii="Times New Roman" w:hAnsi="Times New Roman" w:cs="Times New Roman"/>
          <w:sz w:val="24"/>
          <w:szCs w:val="24"/>
        </w:rPr>
        <w:t xml:space="preserve"> The study examines panel data for 46 Indian banks with 31 bank specific financial ratios over eight years (2007 to 2014). Together, these ratios reflect operating capability, liquidity, solvency, profitability, capital adequacy and business development capacity aspects across Indian banks that affect non-performing assets (NPAs). The data was analysed using a GMM model that dealt with endogeneity issues present in the data. This model captured NPA with an r-square of 85%. We find a negative significant relationship between intermediation cost ratio, Return on Assets and NPAs. Asset growth, lagged NPAs, and total liabilities by total assets are positively related to NPAs.</w:t>
      </w:r>
    </w:p>
    <w:p w14:paraId="6EF9ECF4" w14:textId="77777777" w:rsidR="00821F06" w:rsidRPr="00A46DC3" w:rsidRDefault="00821F06" w:rsidP="005B05F3">
      <w:pPr>
        <w:tabs>
          <w:tab w:val="left" w:pos="5304"/>
        </w:tabs>
        <w:rPr>
          <w:rFonts w:ascii="Times New Roman" w:hAnsi="Times New Roman" w:cs="Times New Roman"/>
          <w:sz w:val="24"/>
          <w:szCs w:val="24"/>
        </w:rPr>
      </w:pPr>
    </w:p>
    <w:p w14:paraId="6EDB38C9" w14:textId="77777777" w:rsidR="00821F06" w:rsidRPr="00A46DC3" w:rsidRDefault="00821F06" w:rsidP="00821F06">
      <w:pPr>
        <w:rPr>
          <w:rFonts w:ascii="Times New Roman" w:hAnsi="Times New Roman" w:cs="Times New Roman"/>
          <w:sz w:val="24"/>
          <w:szCs w:val="24"/>
        </w:rPr>
      </w:pPr>
      <w:r w:rsidRPr="00A46DC3">
        <w:rPr>
          <w:rFonts w:ascii="Times New Roman" w:hAnsi="Times New Roman" w:cs="Times New Roman"/>
          <w:b/>
          <w:bCs/>
          <w:sz w:val="24"/>
          <w:szCs w:val="24"/>
        </w:rPr>
        <w:t>Nitin Arora, Nidgi Grover Arora, Kritika Kanwar (2018) -</w:t>
      </w:r>
      <w:r w:rsidRPr="00A46DC3">
        <w:rPr>
          <w:rFonts w:ascii="Times New Roman" w:hAnsi="Times New Roman" w:cs="Times New Roman"/>
          <w:sz w:val="24"/>
          <w:szCs w:val="24"/>
        </w:rPr>
        <w:t xml:space="preserve"> The issue of mounting non-performing assets (NPAs) in Indian banking industry is serious and attracting attention of academia and policy planners. Thus, the purpose of this paper is to test the hypothesis whether NPAs in Indian commercial banking have reached at alarming state where they start </w:t>
      </w:r>
      <w:r w:rsidRPr="00A46DC3">
        <w:rPr>
          <w:rFonts w:ascii="Times New Roman" w:hAnsi="Times New Roman" w:cs="Times New Roman"/>
          <w:sz w:val="24"/>
          <w:szCs w:val="24"/>
        </w:rPr>
        <w:lastRenderedPageBreak/>
        <w:t xml:space="preserve">affecting the technical efficiency levels adversely or not. The efficiency score </w:t>
      </w:r>
      <w:proofErr w:type="gramStart"/>
      <w:r w:rsidRPr="00A46DC3">
        <w:rPr>
          <w:rFonts w:ascii="Times New Roman" w:hAnsi="Times New Roman" w:cs="Times New Roman"/>
          <w:sz w:val="24"/>
          <w:szCs w:val="24"/>
        </w:rPr>
        <w:t>have</w:t>
      </w:r>
      <w:proofErr w:type="gramEnd"/>
      <w:r w:rsidRPr="00A46DC3">
        <w:rPr>
          <w:rFonts w:ascii="Times New Roman" w:hAnsi="Times New Roman" w:cs="Times New Roman"/>
          <w:sz w:val="24"/>
          <w:szCs w:val="24"/>
        </w:rPr>
        <w:t xml:space="preserve"> been computed using case model (model with NPAs as bad/undesirable output) vs control model (model without NPAs as bad/undesirable output) methodology under meta-frontier data envelopment analysis framework. It has been noticed that the effect of NPAs on overall technical efficiency and its various components is insignificant. The comparison of the case models (i.e. model with NPAs as bad output) with the control models (i.e. model without NPAs) reveals insignificant difference in average efficiency scores and rank distribution of commercial banks. The major source of inefficiency is technology gap (i.e. structure, setup and objectives of banking) among public, domestic private and foreign private categories of banks. Though NPAs are increasing in Indian banking industry and specifically in Indian public sector banks because of their compulsory lending to priority sector yet the banks have huge scope to extend credit to priority sector as the NPAs have not reached at alarming stage where they start affecting adversely the efficiency performance. Given the fact that the banking penetrations, structure and objectives differ significantly across ownership, separate frontiers for each ownership (public, private and foreign banks) category has been used to evaluate the technical efficiency levels of 81 commercial banks operating in India over the period 2005 to 2013.</w:t>
      </w:r>
    </w:p>
    <w:p w14:paraId="443FA25B" w14:textId="77777777" w:rsidR="005B05F3" w:rsidRPr="00A46DC3" w:rsidRDefault="005B05F3" w:rsidP="007B7A98">
      <w:pPr>
        <w:rPr>
          <w:rFonts w:ascii="Times New Roman" w:hAnsi="Times New Roman" w:cs="Times New Roman"/>
          <w:sz w:val="24"/>
          <w:szCs w:val="24"/>
        </w:rPr>
      </w:pPr>
    </w:p>
    <w:p w14:paraId="118DDC40" w14:textId="77777777" w:rsidR="00821F06" w:rsidRPr="00A46DC3" w:rsidRDefault="00821F06" w:rsidP="00821F06">
      <w:pPr>
        <w:rPr>
          <w:rFonts w:ascii="Times New Roman" w:hAnsi="Times New Roman" w:cs="Times New Roman"/>
          <w:sz w:val="24"/>
          <w:szCs w:val="24"/>
        </w:rPr>
      </w:pPr>
      <w:r w:rsidRPr="00A46DC3">
        <w:rPr>
          <w:rFonts w:ascii="Times New Roman" w:hAnsi="Times New Roman" w:cs="Times New Roman"/>
          <w:b/>
          <w:bCs/>
          <w:sz w:val="24"/>
          <w:szCs w:val="24"/>
        </w:rPr>
        <w:t>Dr. Pradip Kumar Samanta (2017) -</w:t>
      </w:r>
      <w:r w:rsidRPr="00A46DC3">
        <w:rPr>
          <w:rFonts w:ascii="Times New Roman" w:hAnsi="Times New Roman" w:cs="Times New Roman"/>
          <w:sz w:val="24"/>
          <w:szCs w:val="24"/>
        </w:rPr>
        <w:t xml:space="preserve"> The Banks being the mobiliser of finances of different sectors of economy, are expected to be strong enough to withstand the shocks like inflation, depression etc. and to cushion the other financial Institutions along with industries and common people against financial crisis. The Public Sector Banks having a large stake of the Government in their Capital structure are preferred by the commoners often. In this context, this paper tries to depict both the Gross Non-Performing Asset and Net Non-Performing Asset position of Public Sector Banks in India and attempts to find whether there is any significant difference among them. This paper also tries to show the impact of GNPA on Net Profit of the selected banks for the last 5 years.</w:t>
      </w:r>
    </w:p>
    <w:p w14:paraId="15D886D8" w14:textId="77777777" w:rsidR="00821F06" w:rsidRPr="00A46DC3" w:rsidRDefault="00821F06" w:rsidP="007B7A98">
      <w:pPr>
        <w:rPr>
          <w:rFonts w:ascii="Times New Roman" w:hAnsi="Times New Roman" w:cs="Times New Roman"/>
          <w:sz w:val="24"/>
          <w:szCs w:val="24"/>
        </w:rPr>
      </w:pPr>
    </w:p>
    <w:p w14:paraId="42B763C9" w14:textId="0AF2DC55" w:rsidR="0070588D" w:rsidRPr="00A46DC3" w:rsidRDefault="0070588D" w:rsidP="0070588D">
      <w:pPr>
        <w:rPr>
          <w:rFonts w:ascii="Times New Roman" w:hAnsi="Times New Roman" w:cs="Times New Roman"/>
          <w:sz w:val="24"/>
          <w:szCs w:val="24"/>
        </w:rPr>
      </w:pPr>
      <w:r w:rsidRPr="00A46DC3">
        <w:rPr>
          <w:rFonts w:ascii="Times New Roman" w:hAnsi="Times New Roman" w:cs="Times New Roman"/>
          <w:b/>
          <w:bCs/>
          <w:sz w:val="24"/>
          <w:szCs w:val="24"/>
        </w:rPr>
        <w:t>Miyan Mohammad (2017) -</w:t>
      </w:r>
      <w:r w:rsidRPr="00A46DC3">
        <w:rPr>
          <w:rFonts w:ascii="Times New Roman" w:hAnsi="Times New Roman" w:cs="Times New Roman"/>
          <w:sz w:val="24"/>
          <w:szCs w:val="24"/>
        </w:rPr>
        <w:t xml:space="preserve"> The present paper is to analyse the comparative study of the NPA factor and returns on assets of the PSU banks and private sector for the period of five years i.e., from 2011-12 to 2015-16. The study has considered various parameters for measuring the performance like as Gross NPA %, Net NPA %, return % on assets, growth % of Net NPA and growth % of return on assets. The data of State Bank of India; Punjab National Bank are using for PSU banks and HDFC Bank; ICICI Bank are using for private banks. It is to conclude that the results and trends show that NPAs are having a downward trend over the study period, but Non-Performing Assets of public sector banks are still higher than private sector banks. The returns on the assets have also the downward trends but this is much lower in PSU banks as compared to private banks. Hence, the performances of PSU banks are not suitable as compared to private sector banks.</w:t>
      </w:r>
    </w:p>
    <w:p w14:paraId="18ECAEFA" w14:textId="77777777" w:rsidR="0070588D" w:rsidRPr="00A46DC3" w:rsidRDefault="0070588D" w:rsidP="0070588D">
      <w:pPr>
        <w:rPr>
          <w:rFonts w:ascii="Times New Roman" w:hAnsi="Times New Roman" w:cs="Times New Roman"/>
          <w:sz w:val="24"/>
          <w:szCs w:val="24"/>
        </w:rPr>
      </w:pPr>
    </w:p>
    <w:p w14:paraId="30166D41" w14:textId="77777777" w:rsidR="0070588D" w:rsidRPr="00A46DC3" w:rsidRDefault="0070588D" w:rsidP="0070588D">
      <w:pPr>
        <w:rPr>
          <w:rFonts w:ascii="Times New Roman" w:hAnsi="Times New Roman" w:cs="Times New Roman"/>
          <w:sz w:val="24"/>
          <w:szCs w:val="24"/>
        </w:rPr>
      </w:pPr>
      <w:r w:rsidRPr="00A46DC3">
        <w:rPr>
          <w:rFonts w:ascii="Times New Roman" w:hAnsi="Times New Roman" w:cs="Times New Roman"/>
          <w:b/>
          <w:bCs/>
          <w:sz w:val="24"/>
          <w:szCs w:val="24"/>
        </w:rPr>
        <w:t>Gourav Vallabh, Digivijay Singh, Ruchi Prasoon, Abhimanyu Singh (2016) -</w:t>
      </w:r>
      <w:r w:rsidRPr="00A46DC3">
        <w:rPr>
          <w:rFonts w:ascii="Times New Roman" w:hAnsi="Times New Roman" w:cs="Times New Roman"/>
          <w:sz w:val="24"/>
          <w:szCs w:val="24"/>
        </w:rPr>
        <w:t xml:space="preserve"> Banking sector is the backbone of any economy and plays a pivotal role in the development of the nation. With the ever-increasing need of involvement of banks in the economic growth </w:t>
      </w:r>
      <w:r w:rsidRPr="00A46DC3">
        <w:rPr>
          <w:rFonts w:ascii="Times New Roman" w:hAnsi="Times New Roman" w:cs="Times New Roman"/>
          <w:sz w:val="24"/>
          <w:szCs w:val="24"/>
        </w:rPr>
        <w:lastRenderedPageBreak/>
        <w:t>process, the issue of non-Performing Assets (NPAs) has assumed mammoth proportions. Subsequently, as government in emerging countries pushes for financial inclusion, the risk associated with bank assets increases. With this background, this paper analyses problem of non-Performing Assets (NPAs) in Indian banking system. The authors have devised a unique way to forecast the NPAs in Indian banking system in 2020. The focus was to devise a model which would play a pivotal role in forecasting future NPAs in the Indian banking sector. This was achieved by looking into various methodologies and zeroing in on a model, which could be implemented to help understand how NPAs could be predicted.</w:t>
      </w:r>
    </w:p>
    <w:p w14:paraId="0A75FC43" w14:textId="77777777" w:rsidR="00400AFC" w:rsidRPr="00A46DC3" w:rsidRDefault="00400AFC" w:rsidP="004D04CB">
      <w:pPr>
        <w:rPr>
          <w:rFonts w:ascii="Times New Roman" w:hAnsi="Times New Roman" w:cs="Times New Roman"/>
          <w:sz w:val="24"/>
          <w:szCs w:val="24"/>
        </w:rPr>
      </w:pPr>
    </w:p>
    <w:p w14:paraId="3AB2CEE4" w14:textId="473F7718" w:rsidR="00B45050" w:rsidRPr="00A46DC3" w:rsidRDefault="004C6820" w:rsidP="0030732A">
      <w:pPr>
        <w:rPr>
          <w:rFonts w:ascii="Times New Roman" w:hAnsi="Times New Roman" w:cs="Times New Roman"/>
          <w:sz w:val="24"/>
          <w:szCs w:val="24"/>
        </w:rPr>
      </w:pPr>
      <w:r w:rsidRPr="00A46DC3">
        <w:rPr>
          <w:rFonts w:ascii="Times New Roman" w:hAnsi="Times New Roman" w:cs="Times New Roman"/>
          <w:b/>
          <w:bCs/>
          <w:sz w:val="24"/>
          <w:szCs w:val="24"/>
        </w:rPr>
        <w:t>Ashly Lynn Joseph (2014) -</w:t>
      </w:r>
      <w:r w:rsidRPr="00A46DC3">
        <w:rPr>
          <w:rFonts w:ascii="Times New Roman" w:hAnsi="Times New Roman" w:cs="Times New Roman"/>
          <w:sz w:val="24"/>
          <w:szCs w:val="24"/>
        </w:rPr>
        <w:t xml:space="preserve"> </w:t>
      </w:r>
      <w:r w:rsidR="0030732A" w:rsidRPr="00A46DC3">
        <w:rPr>
          <w:rFonts w:ascii="Times New Roman" w:hAnsi="Times New Roman" w:cs="Times New Roman"/>
          <w:sz w:val="24"/>
          <w:szCs w:val="24"/>
        </w:rPr>
        <w:t>A healthy and a sound banking system are very essential for an economy in order to grow and remain in this competitive environment. RBI and other regulatory bodies have taken several policies in the light of developing the functioning of the banking sector. The best indicator for the health of the banking industry in a country is its level of non-performing assets (NPAs). It reflects the performance of banks. NPAs in the Indian banking sector have become a major concern for the Indian economy. NPA has a direct impact on the profitability, liquidity and solvency position of the bank. Higher NPA indicates inefficiency of the bank and lower NPA indicate better performance and management of funds. To improve the efficiency and profitability of banks the NPA need to be reduced and controlled. This paper basically deals with the trends of NPA in banking industry, the factors that mainly contribute to NPA raising in the banking industry and also provides some suggestions how to overcome this burden of NPA on banking industry.</w:t>
      </w:r>
    </w:p>
    <w:p w14:paraId="3EF6932F" w14:textId="77777777" w:rsidR="00B45050" w:rsidRPr="00A46DC3" w:rsidRDefault="00B45050" w:rsidP="004D04CB">
      <w:pPr>
        <w:rPr>
          <w:rFonts w:ascii="Times New Roman" w:hAnsi="Times New Roman" w:cs="Times New Roman"/>
          <w:sz w:val="24"/>
          <w:szCs w:val="24"/>
        </w:rPr>
      </w:pPr>
    </w:p>
    <w:p w14:paraId="2B2BCFAD" w14:textId="5F043C4D" w:rsidR="007E6EB3" w:rsidRPr="00A46DC3" w:rsidRDefault="001A2185" w:rsidP="007B7A98">
      <w:pPr>
        <w:rPr>
          <w:rFonts w:ascii="Times New Roman" w:hAnsi="Times New Roman" w:cs="Times New Roman"/>
          <w:sz w:val="24"/>
          <w:szCs w:val="24"/>
        </w:rPr>
      </w:pPr>
      <w:r w:rsidRPr="00A46DC3">
        <w:rPr>
          <w:rFonts w:ascii="Times New Roman" w:hAnsi="Times New Roman" w:cs="Times New Roman"/>
          <w:b/>
          <w:bCs/>
          <w:sz w:val="24"/>
          <w:szCs w:val="24"/>
        </w:rPr>
        <w:t xml:space="preserve">Sulgana Das, Abhijit Dutta (2014) </w:t>
      </w:r>
      <w:r w:rsidR="00CD437B" w:rsidRPr="00A46DC3">
        <w:rPr>
          <w:rFonts w:ascii="Times New Roman" w:hAnsi="Times New Roman" w:cs="Times New Roman"/>
          <w:b/>
          <w:bCs/>
          <w:sz w:val="24"/>
          <w:szCs w:val="24"/>
        </w:rPr>
        <w:t>–</w:t>
      </w:r>
      <w:r w:rsidRPr="00A46DC3">
        <w:rPr>
          <w:rFonts w:ascii="Times New Roman" w:hAnsi="Times New Roman" w:cs="Times New Roman"/>
          <w:sz w:val="24"/>
          <w:szCs w:val="24"/>
        </w:rPr>
        <w:t xml:space="preserve"> </w:t>
      </w:r>
      <w:r w:rsidR="00416136" w:rsidRPr="00A46DC3">
        <w:rPr>
          <w:rFonts w:ascii="Times New Roman" w:hAnsi="Times New Roman" w:cs="Times New Roman"/>
          <w:sz w:val="24"/>
          <w:szCs w:val="24"/>
        </w:rPr>
        <w:t>Non-Performing</w:t>
      </w:r>
      <w:r w:rsidR="00CD437B" w:rsidRPr="00A46DC3">
        <w:rPr>
          <w:rFonts w:ascii="Times New Roman" w:hAnsi="Times New Roman" w:cs="Times New Roman"/>
          <w:sz w:val="24"/>
          <w:szCs w:val="24"/>
        </w:rPr>
        <w:t xml:space="preserve"> Assets are a burning topic of concern for the public sector</w:t>
      </w:r>
      <w:r w:rsidR="00AC50DB" w:rsidRPr="00A46DC3">
        <w:rPr>
          <w:rFonts w:ascii="Times New Roman" w:hAnsi="Times New Roman" w:cs="Times New Roman"/>
          <w:sz w:val="24"/>
          <w:szCs w:val="24"/>
        </w:rPr>
        <w:t xml:space="preserve"> banks as managing and controlling NPA is very important. The current paper</w:t>
      </w:r>
      <w:r w:rsidR="00416136" w:rsidRPr="00A46DC3">
        <w:rPr>
          <w:rFonts w:ascii="Times New Roman" w:hAnsi="Times New Roman" w:cs="Times New Roman"/>
          <w:sz w:val="24"/>
          <w:szCs w:val="24"/>
        </w:rPr>
        <w:t xml:space="preserve"> with the help of secondary data, from RBI website, tried to analyse the 6 years (2008-13</w:t>
      </w:r>
      <w:r w:rsidR="001D419B" w:rsidRPr="00A46DC3">
        <w:rPr>
          <w:rFonts w:ascii="Times New Roman" w:hAnsi="Times New Roman" w:cs="Times New Roman"/>
          <w:sz w:val="24"/>
          <w:szCs w:val="24"/>
        </w:rPr>
        <w:t>) net non-performing asset data of 26 public sector banks</w:t>
      </w:r>
      <w:r w:rsidR="00980695" w:rsidRPr="00A46DC3">
        <w:rPr>
          <w:rFonts w:ascii="Times New Roman" w:hAnsi="Times New Roman" w:cs="Times New Roman"/>
          <w:sz w:val="24"/>
          <w:szCs w:val="24"/>
        </w:rPr>
        <w:t>, by using Annova statistics, and with the help of SPSS software. The main objective of the study</w:t>
      </w:r>
      <w:r w:rsidR="004E6182" w:rsidRPr="00A46DC3">
        <w:rPr>
          <w:rFonts w:ascii="Times New Roman" w:hAnsi="Times New Roman" w:cs="Times New Roman"/>
          <w:sz w:val="24"/>
          <w:szCs w:val="24"/>
        </w:rPr>
        <w:t xml:space="preserve"> is to find out if there are any significant differences in the mean variation</w:t>
      </w:r>
      <w:r w:rsidR="00844FEE" w:rsidRPr="00A46DC3">
        <w:rPr>
          <w:rFonts w:ascii="Times New Roman" w:hAnsi="Times New Roman" w:cs="Times New Roman"/>
          <w:sz w:val="24"/>
          <w:szCs w:val="24"/>
        </w:rPr>
        <w:t xml:space="preserve"> of the concerned banks. The paper also focuses on the reason behind the NPA and </w:t>
      </w:r>
      <w:r w:rsidR="000A2DF4" w:rsidRPr="00A46DC3">
        <w:rPr>
          <w:rFonts w:ascii="Times New Roman" w:hAnsi="Times New Roman" w:cs="Times New Roman"/>
          <w:sz w:val="24"/>
          <w:szCs w:val="24"/>
        </w:rPr>
        <w:t>i</w:t>
      </w:r>
      <w:r w:rsidR="00844FEE" w:rsidRPr="00A46DC3">
        <w:rPr>
          <w:rFonts w:ascii="Times New Roman" w:hAnsi="Times New Roman" w:cs="Times New Roman"/>
          <w:sz w:val="24"/>
          <w:szCs w:val="24"/>
        </w:rPr>
        <w:t xml:space="preserve">ts impact on banking </w:t>
      </w:r>
      <w:r w:rsidR="000A2DF4" w:rsidRPr="00A46DC3">
        <w:rPr>
          <w:rFonts w:ascii="Times New Roman" w:hAnsi="Times New Roman" w:cs="Times New Roman"/>
          <w:sz w:val="24"/>
          <w:szCs w:val="24"/>
        </w:rPr>
        <w:t>operations</w:t>
      </w:r>
      <w:r w:rsidR="006A0579" w:rsidRPr="00A46DC3">
        <w:rPr>
          <w:rFonts w:ascii="Times New Roman" w:hAnsi="Times New Roman" w:cs="Times New Roman"/>
          <w:sz w:val="24"/>
          <w:szCs w:val="24"/>
        </w:rPr>
        <w:t>.</w:t>
      </w:r>
    </w:p>
    <w:p w14:paraId="44838AEB" w14:textId="77777777" w:rsidR="0070588D" w:rsidRPr="00A46DC3" w:rsidRDefault="0070588D" w:rsidP="007B7A98">
      <w:pPr>
        <w:rPr>
          <w:rFonts w:ascii="Times New Roman" w:hAnsi="Times New Roman" w:cs="Times New Roman"/>
          <w:sz w:val="24"/>
          <w:szCs w:val="24"/>
        </w:rPr>
      </w:pPr>
    </w:p>
    <w:p w14:paraId="24216B5F" w14:textId="77777777" w:rsidR="0070588D" w:rsidRPr="00A46DC3" w:rsidRDefault="0070588D" w:rsidP="0070588D">
      <w:pPr>
        <w:rPr>
          <w:rFonts w:ascii="Times New Roman" w:hAnsi="Times New Roman" w:cs="Times New Roman"/>
          <w:sz w:val="24"/>
          <w:szCs w:val="24"/>
        </w:rPr>
      </w:pPr>
      <w:r w:rsidRPr="00A46DC3">
        <w:rPr>
          <w:rFonts w:ascii="Times New Roman" w:hAnsi="Times New Roman" w:cs="Times New Roman"/>
          <w:b/>
          <w:bCs/>
          <w:sz w:val="24"/>
          <w:szCs w:val="24"/>
        </w:rPr>
        <w:t>Dr. Samir, Deepa Kamra (2013) -</w:t>
      </w:r>
      <w:r w:rsidRPr="00A46DC3">
        <w:rPr>
          <w:rFonts w:ascii="Times New Roman" w:hAnsi="Times New Roman" w:cs="Times New Roman"/>
          <w:sz w:val="24"/>
          <w:szCs w:val="24"/>
        </w:rPr>
        <w:t xml:space="preserve"> With the introduction of international norms for income recognition, asset classification and provisioning in the banking sector, managing NPAs has emerged as one of the major challenges facing Indian banks. Banks today are judged not only on the basis of number of branches and volume of deposits but also on the basis of quality of assets. Non-performing assets constitute a major portfolio of the Banks portfolio and hence are an inevitable burden on the banking industry. NPAs adversely affect the profitability, liquidity and solvency of the banks. This paper analyses the position of NPAs in selected banks namely State Bank of India (SBI), Punjab National Bank (PNB) and Central Bank of India (CBI). It also highlights the policies pursued by the banks to tackle the NPAs and suggests a multi-pronged strategy for speedy recovery of NPAs in banking sector.</w:t>
      </w:r>
    </w:p>
    <w:p w14:paraId="7A157473" w14:textId="77777777" w:rsidR="0070588D" w:rsidRPr="00A46DC3" w:rsidRDefault="0070588D" w:rsidP="007B7A98">
      <w:pPr>
        <w:rPr>
          <w:rFonts w:ascii="Times New Roman" w:hAnsi="Times New Roman" w:cs="Times New Roman"/>
          <w:sz w:val="24"/>
          <w:szCs w:val="24"/>
        </w:rPr>
      </w:pPr>
    </w:p>
    <w:p w14:paraId="156C55C8" w14:textId="77777777" w:rsidR="006A0579" w:rsidRPr="00A46DC3" w:rsidRDefault="006A0579" w:rsidP="007B7A98">
      <w:pPr>
        <w:rPr>
          <w:rFonts w:ascii="Times New Roman" w:hAnsi="Times New Roman" w:cs="Times New Roman"/>
          <w:sz w:val="24"/>
          <w:szCs w:val="24"/>
        </w:rPr>
      </w:pPr>
    </w:p>
    <w:p w14:paraId="51B04F9A" w14:textId="77777777" w:rsidR="001A2185" w:rsidRPr="00A46DC3" w:rsidRDefault="001A2185" w:rsidP="007B7A98">
      <w:pPr>
        <w:rPr>
          <w:rFonts w:ascii="Times New Roman" w:hAnsi="Times New Roman" w:cs="Times New Roman"/>
          <w:sz w:val="24"/>
          <w:szCs w:val="24"/>
        </w:rPr>
      </w:pPr>
    </w:p>
    <w:p w14:paraId="11EA2A1D" w14:textId="77777777" w:rsidR="000A1B8E" w:rsidRPr="00A46DC3" w:rsidRDefault="000A1B8E" w:rsidP="007B7A98">
      <w:pPr>
        <w:rPr>
          <w:rFonts w:ascii="Times New Roman" w:hAnsi="Times New Roman" w:cs="Times New Roman"/>
          <w:sz w:val="24"/>
          <w:szCs w:val="24"/>
        </w:rPr>
      </w:pPr>
    </w:p>
    <w:p w14:paraId="23AEA19B" w14:textId="77777777" w:rsidR="00996C3E" w:rsidRPr="00A46DC3" w:rsidRDefault="00996C3E" w:rsidP="007B7A98">
      <w:pPr>
        <w:rPr>
          <w:rFonts w:ascii="Times New Roman" w:hAnsi="Times New Roman" w:cs="Times New Roman"/>
          <w:sz w:val="24"/>
          <w:szCs w:val="24"/>
        </w:rPr>
      </w:pPr>
    </w:p>
    <w:p w14:paraId="3B72570B" w14:textId="77777777" w:rsidR="00BD2927" w:rsidRPr="00A46DC3" w:rsidRDefault="00BD2927" w:rsidP="000C70C1">
      <w:pPr>
        <w:tabs>
          <w:tab w:val="left" w:pos="5304"/>
        </w:tabs>
        <w:rPr>
          <w:rFonts w:ascii="Times New Roman" w:hAnsi="Times New Roman" w:cs="Times New Roman"/>
          <w:sz w:val="24"/>
          <w:szCs w:val="24"/>
        </w:rPr>
      </w:pPr>
    </w:p>
    <w:p w14:paraId="49F4C882" w14:textId="77777777" w:rsidR="006C151F" w:rsidRPr="00A46DC3" w:rsidRDefault="006C151F" w:rsidP="007331B8">
      <w:pPr>
        <w:tabs>
          <w:tab w:val="left" w:pos="5304"/>
        </w:tabs>
        <w:rPr>
          <w:rFonts w:ascii="Times New Roman" w:hAnsi="Times New Roman" w:cs="Times New Roman"/>
          <w:sz w:val="24"/>
          <w:szCs w:val="24"/>
        </w:rPr>
      </w:pPr>
    </w:p>
    <w:p w14:paraId="28985D33" w14:textId="77777777" w:rsidR="00D84557" w:rsidRPr="00A46DC3" w:rsidRDefault="00D84557" w:rsidP="00D84557">
      <w:pPr>
        <w:tabs>
          <w:tab w:val="left" w:pos="5304"/>
        </w:tabs>
        <w:rPr>
          <w:rFonts w:ascii="Times New Roman" w:hAnsi="Times New Roman" w:cs="Times New Roman"/>
          <w:sz w:val="24"/>
          <w:szCs w:val="24"/>
        </w:rPr>
      </w:pPr>
    </w:p>
    <w:p w14:paraId="22BE24D8" w14:textId="77777777" w:rsidR="00D12794" w:rsidRPr="00A46DC3" w:rsidRDefault="00D12794" w:rsidP="00D84557">
      <w:pPr>
        <w:tabs>
          <w:tab w:val="left" w:pos="5304"/>
        </w:tabs>
        <w:rPr>
          <w:rFonts w:ascii="Times New Roman" w:hAnsi="Times New Roman" w:cs="Times New Roman"/>
          <w:sz w:val="24"/>
          <w:szCs w:val="24"/>
        </w:rPr>
      </w:pPr>
    </w:p>
    <w:p w14:paraId="3449E928" w14:textId="77777777" w:rsidR="00D12794" w:rsidRPr="00A46DC3" w:rsidRDefault="00D12794" w:rsidP="00D84557">
      <w:pPr>
        <w:tabs>
          <w:tab w:val="left" w:pos="5304"/>
        </w:tabs>
        <w:rPr>
          <w:rFonts w:ascii="Times New Roman" w:hAnsi="Times New Roman" w:cs="Times New Roman"/>
          <w:sz w:val="24"/>
          <w:szCs w:val="24"/>
        </w:rPr>
      </w:pPr>
    </w:p>
    <w:p w14:paraId="32DCB983" w14:textId="77777777" w:rsidR="00D12794" w:rsidRPr="00A46DC3" w:rsidRDefault="00D12794" w:rsidP="00D84557">
      <w:pPr>
        <w:tabs>
          <w:tab w:val="left" w:pos="5304"/>
        </w:tabs>
        <w:rPr>
          <w:rFonts w:ascii="Times New Roman" w:hAnsi="Times New Roman" w:cs="Times New Roman"/>
          <w:sz w:val="24"/>
          <w:szCs w:val="24"/>
        </w:rPr>
      </w:pPr>
    </w:p>
    <w:p w14:paraId="329B42CF" w14:textId="77777777" w:rsidR="00D12794" w:rsidRPr="00A46DC3" w:rsidRDefault="00D12794" w:rsidP="00D84557">
      <w:pPr>
        <w:tabs>
          <w:tab w:val="left" w:pos="5304"/>
        </w:tabs>
        <w:rPr>
          <w:rFonts w:ascii="Times New Roman" w:hAnsi="Times New Roman" w:cs="Times New Roman"/>
          <w:sz w:val="24"/>
          <w:szCs w:val="24"/>
        </w:rPr>
      </w:pPr>
    </w:p>
    <w:p w14:paraId="129D15A4" w14:textId="77777777" w:rsidR="00D12794" w:rsidRPr="00A46DC3" w:rsidRDefault="00D12794" w:rsidP="00D84557">
      <w:pPr>
        <w:tabs>
          <w:tab w:val="left" w:pos="5304"/>
        </w:tabs>
        <w:rPr>
          <w:rFonts w:ascii="Times New Roman" w:hAnsi="Times New Roman" w:cs="Times New Roman"/>
          <w:sz w:val="24"/>
          <w:szCs w:val="24"/>
        </w:rPr>
      </w:pPr>
    </w:p>
    <w:p w14:paraId="4F33F82C" w14:textId="77777777" w:rsidR="00D12794" w:rsidRPr="00A46DC3" w:rsidRDefault="00D12794" w:rsidP="00D12794">
      <w:pPr>
        <w:tabs>
          <w:tab w:val="left" w:pos="5304"/>
        </w:tabs>
        <w:rPr>
          <w:rFonts w:ascii="Times New Roman" w:hAnsi="Times New Roman" w:cs="Times New Roman"/>
          <w:sz w:val="24"/>
          <w:szCs w:val="24"/>
        </w:rPr>
      </w:pPr>
    </w:p>
    <w:p w14:paraId="2927EB54" w14:textId="77777777" w:rsidR="00251E0A" w:rsidRPr="00A46DC3" w:rsidRDefault="00251E0A" w:rsidP="00D12794">
      <w:pPr>
        <w:tabs>
          <w:tab w:val="left" w:pos="5304"/>
        </w:tabs>
        <w:rPr>
          <w:rFonts w:ascii="Times New Roman" w:hAnsi="Times New Roman" w:cs="Times New Roman"/>
          <w:sz w:val="24"/>
          <w:szCs w:val="24"/>
        </w:rPr>
      </w:pPr>
    </w:p>
    <w:p w14:paraId="53A9F773" w14:textId="77777777" w:rsidR="00251E0A" w:rsidRPr="00A46DC3" w:rsidRDefault="00251E0A" w:rsidP="00D12794">
      <w:pPr>
        <w:tabs>
          <w:tab w:val="left" w:pos="5304"/>
        </w:tabs>
        <w:rPr>
          <w:rFonts w:ascii="Times New Roman" w:hAnsi="Times New Roman" w:cs="Times New Roman"/>
          <w:sz w:val="24"/>
          <w:szCs w:val="24"/>
        </w:rPr>
      </w:pPr>
    </w:p>
    <w:p w14:paraId="649BA56D" w14:textId="77777777" w:rsidR="00251E0A" w:rsidRPr="00A46DC3" w:rsidRDefault="00251E0A" w:rsidP="00D12794">
      <w:pPr>
        <w:tabs>
          <w:tab w:val="left" w:pos="5304"/>
        </w:tabs>
        <w:rPr>
          <w:rFonts w:ascii="Times New Roman" w:hAnsi="Times New Roman" w:cs="Times New Roman"/>
          <w:sz w:val="24"/>
          <w:szCs w:val="24"/>
        </w:rPr>
      </w:pPr>
    </w:p>
    <w:p w14:paraId="4E019FFA" w14:textId="77777777" w:rsidR="00251E0A" w:rsidRPr="00A46DC3" w:rsidRDefault="00251E0A" w:rsidP="00D12794">
      <w:pPr>
        <w:tabs>
          <w:tab w:val="left" w:pos="5304"/>
        </w:tabs>
        <w:rPr>
          <w:rFonts w:ascii="Times New Roman" w:hAnsi="Times New Roman" w:cs="Times New Roman"/>
          <w:sz w:val="24"/>
          <w:szCs w:val="24"/>
        </w:rPr>
      </w:pPr>
    </w:p>
    <w:p w14:paraId="07634728" w14:textId="77777777" w:rsidR="00251E0A" w:rsidRPr="00A46DC3" w:rsidRDefault="00251E0A" w:rsidP="00D12794">
      <w:pPr>
        <w:tabs>
          <w:tab w:val="left" w:pos="5304"/>
        </w:tabs>
        <w:rPr>
          <w:rFonts w:ascii="Times New Roman" w:hAnsi="Times New Roman" w:cs="Times New Roman"/>
          <w:sz w:val="24"/>
          <w:szCs w:val="24"/>
        </w:rPr>
      </w:pPr>
    </w:p>
    <w:p w14:paraId="48178D9B" w14:textId="77777777" w:rsidR="00251E0A" w:rsidRPr="00A46DC3" w:rsidRDefault="00251E0A" w:rsidP="00D12794">
      <w:pPr>
        <w:tabs>
          <w:tab w:val="left" w:pos="5304"/>
        </w:tabs>
        <w:rPr>
          <w:rFonts w:ascii="Times New Roman" w:hAnsi="Times New Roman" w:cs="Times New Roman"/>
          <w:sz w:val="24"/>
          <w:szCs w:val="24"/>
        </w:rPr>
      </w:pPr>
    </w:p>
    <w:p w14:paraId="039132E9" w14:textId="77777777" w:rsidR="00251E0A" w:rsidRPr="00A46DC3" w:rsidRDefault="00251E0A" w:rsidP="00D12794">
      <w:pPr>
        <w:tabs>
          <w:tab w:val="left" w:pos="5304"/>
        </w:tabs>
        <w:rPr>
          <w:rFonts w:ascii="Times New Roman" w:hAnsi="Times New Roman" w:cs="Times New Roman"/>
          <w:sz w:val="24"/>
          <w:szCs w:val="24"/>
        </w:rPr>
      </w:pPr>
    </w:p>
    <w:p w14:paraId="59F59C59" w14:textId="77777777" w:rsidR="00251E0A" w:rsidRPr="00A46DC3" w:rsidRDefault="00251E0A" w:rsidP="00D12794">
      <w:pPr>
        <w:tabs>
          <w:tab w:val="left" w:pos="5304"/>
        </w:tabs>
        <w:rPr>
          <w:rFonts w:ascii="Times New Roman" w:hAnsi="Times New Roman" w:cs="Times New Roman"/>
          <w:sz w:val="24"/>
          <w:szCs w:val="24"/>
        </w:rPr>
      </w:pPr>
    </w:p>
    <w:p w14:paraId="2FD46001" w14:textId="77777777" w:rsidR="00251E0A" w:rsidRPr="00A46DC3" w:rsidRDefault="00251E0A" w:rsidP="00D12794">
      <w:pPr>
        <w:tabs>
          <w:tab w:val="left" w:pos="5304"/>
        </w:tabs>
        <w:rPr>
          <w:rFonts w:ascii="Times New Roman" w:hAnsi="Times New Roman" w:cs="Times New Roman"/>
          <w:sz w:val="24"/>
          <w:szCs w:val="24"/>
        </w:rPr>
      </w:pPr>
    </w:p>
    <w:p w14:paraId="5305D83D" w14:textId="77777777" w:rsidR="00251E0A" w:rsidRPr="00A46DC3" w:rsidRDefault="00251E0A" w:rsidP="00D12794">
      <w:pPr>
        <w:tabs>
          <w:tab w:val="left" w:pos="5304"/>
        </w:tabs>
        <w:rPr>
          <w:rFonts w:ascii="Times New Roman" w:hAnsi="Times New Roman" w:cs="Times New Roman"/>
          <w:sz w:val="24"/>
          <w:szCs w:val="24"/>
        </w:rPr>
      </w:pPr>
    </w:p>
    <w:p w14:paraId="5DAA3CB0" w14:textId="77777777" w:rsidR="00251E0A" w:rsidRPr="00A46DC3" w:rsidRDefault="00251E0A" w:rsidP="00D12794">
      <w:pPr>
        <w:tabs>
          <w:tab w:val="left" w:pos="5304"/>
        </w:tabs>
        <w:rPr>
          <w:rFonts w:ascii="Times New Roman" w:hAnsi="Times New Roman" w:cs="Times New Roman"/>
          <w:sz w:val="24"/>
          <w:szCs w:val="24"/>
        </w:rPr>
      </w:pPr>
    </w:p>
    <w:p w14:paraId="483A1070" w14:textId="77777777" w:rsidR="00251E0A" w:rsidRPr="00A46DC3" w:rsidRDefault="00251E0A" w:rsidP="00D12794">
      <w:pPr>
        <w:tabs>
          <w:tab w:val="left" w:pos="5304"/>
        </w:tabs>
        <w:rPr>
          <w:rFonts w:ascii="Times New Roman" w:hAnsi="Times New Roman" w:cs="Times New Roman"/>
          <w:sz w:val="24"/>
          <w:szCs w:val="24"/>
        </w:rPr>
      </w:pPr>
    </w:p>
    <w:p w14:paraId="5FA7C795" w14:textId="77777777" w:rsidR="00251E0A" w:rsidRPr="00A46DC3" w:rsidRDefault="00251E0A" w:rsidP="00D12794">
      <w:pPr>
        <w:tabs>
          <w:tab w:val="left" w:pos="5304"/>
        </w:tabs>
        <w:rPr>
          <w:rFonts w:ascii="Times New Roman" w:hAnsi="Times New Roman" w:cs="Times New Roman"/>
          <w:sz w:val="24"/>
          <w:szCs w:val="24"/>
        </w:rPr>
      </w:pPr>
    </w:p>
    <w:p w14:paraId="23BA77D5" w14:textId="77777777" w:rsidR="00251E0A" w:rsidRPr="00A46DC3" w:rsidRDefault="00251E0A" w:rsidP="00D12794">
      <w:pPr>
        <w:tabs>
          <w:tab w:val="left" w:pos="5304"/>
        </w:tabs>
        <w:rPr>
          <w:rFonts w:ascii="Times New Roman" w:hAnsi="Times New Roman" w:cs="Times New Roman"/>
          <w:sz w:val="24"/>
          <w:szCs w:val="24"/>
        </w:rPr>
      </w:pPr>
    </w:p>
    <w:p w14:paraId="08DA8694" w14:textId="77777777" w:rsidR="004B61FA" w:rsidRPr="00A46DC3" w:rsidRDefault="004B61FA" w:rsidP="00251E0A">
      <w:pPr>
        <w:tabs>
          <w:tab w:val="left" w:pos="5304"/>
        </w:tabs>
        <w:jc w:val="center"/>
        <w:rPr>
          <w:rFonts w:ascii="Times New Roman" w:hAnsi="Times New Roman" w:cs="Times New Roman"/>
          <w:b/>
          <w:bCs/>
          <w:sz w:val="24"/>
          <w:szCs w:val="24"/>
        </w:rPr>
      </w:pPr>
    </w:p>
    <w:p w14:paraId="648CA782" w14:textId="77777777" w:rsidR="004B61FA" w:rsidRPr="00A46DC3" w:rsidRDefault="004B61FA" w:rsidP="00251E0A">
      <w:pPr>
        <w:tabs>
          <w:tab w:val="left" w:pos="5304"/>
        </w:tabs>
        <w:jc w:val="center"/>
        <w:rPr>
          <w:rFonts w:ascii="Times New Roman" w:hAnsi="Times New Roman" w:cs="Times New Roman"/>
          <w:b/>
          <w:bCs/>
          <w:sz w:val="24"/>
          <w:szCs w:val="24"/>
        </w:rPr>
      </w:pPr>
    </w:p>
    <w:p w14:paraId="263491B1" w14:textId="77777777" w:rsidR="004B61FA" w:rsidRPr="00A46DC3" w:rsidRDefault="004B61FA" w:rsidP="00251E0A">
      <w:pPr>
        <w:tabs>
          <w:tab w:val="left" w:pos="5304"/>
        </w:tabs>
        <w:jc w:val="center"/>
        <w:rPr>
          <w:rFonts w:ascii="Times New Roman" w:hAnsi="Times New Roman" w:cs="Times New Roman"/>
          <w:b/>
          <w:bCs/>
          <w:sz w:val="24"/>
          <w:szCs w:val="24"/>
        </w:rPr>
      </w:pPr>
    </w:p>
    <w:p w14:paraId="4D520DFF" w14:textId="77777777" w:rsidR="004B61FA" w:rsidRPr="00A46DC3" w:rsidRDefault="004B61FA" w:rsidP="00251E0A">
      <w:pPr>
        <w:tabs>
          <w:tab w:val="left" w:pos="5304"/>
        </w:tabs>
        <w:jc w:val="center"/>
        <w:rPr>
          <w:rFonts w:ascii="Times New Roman" w:hAnsi="Times New Roman" w:cs="Times New Roman"/>
          <w:b/>
          <w:bCs/>
          <w:sz w:val="24"/>
          <w:szCs w:val="24"/>
        </w:rPr>
      </w:pPr>
    </w:p>
    <w:p w14:paraId="0BBB0E63" w14:textId="77777777" w:rsidR="004B61FA" w:rsidRPr="00A46DC3" w:rsidRDefault="004B61FA" w:rsidP="00251E0A">
      <w:pPr>
        <w:tabs>
          <w:tab w:val="left" w:pos="5304"/>
        </w:tabs>
        <w:jc w:val="center"/>
        <w:rPr>
          <w:rFonts w:ascii="Times New Roman" w:hAnsi="Times New Roman" w:cs="Times New Roman"/>
          <w:b/>
          <w:bCs/>
          <w:sz w:val="24"/>
          <w:szCs w:val="24"/>
        </w:rPr>
      </w:pPr>
    </w:p>
    <w:p w14:paraId="4A5832DA" w14:textId="77777777" w:rsidR="004B61FA" w:rsidRPr="00A46DC3" w:rsidRDefault="004B61FA" w:rsidP="00251E0A">
      <w:pPr>
        <w:tabs>
          <w:tab w:val="left" w:pos="5304"/>
        </w:tabs>
        <w:jc w:val="center"/>
        <w:rPr>
          <w:rFonts w:ascii="Times New Roman" w:hAnsi="Times New Roman" w:cs="Times New Roman"/>
          <w:b/>
          <w:bCs/>
          <w:sz w:val="24"/>
          <w:szCs w:val="24"/>
        </w:rPr>
      </w:pPr>
    </w:p>
    <w:p w14:paraId="09B1F916" w14:textId="77777777" w:rsidR="004B61FA" w:rsidRPr="00A46DC3" w:rsidRDefault="004B61FA" w:rsidP="00251E0A">
      <w:pPr>
        <w:tabs>
          <w:tab w:val="left" w:pos="5304"/>
        </w:tabs>
        <w:jc w:val="center"/>
        <w:rPr>
          <w:rFonts w:ascii="Times New Roman" w:hAnsi="Times New Roman" w:cs="Times New Roman"/>
          <w:b/>
          <w:bCs/>
          <w:sz w:val="24"/>
          <w:szCs w:val="24"/>
        </w:rPr>
      </w:pPr>
    </w:p>
    <w:p w14:paraId="1A7EF891" w14:textId="77777777" w:rsidR="004B61FA" w:rsidRPr="00A46DC3" w:rsidRDefault="004B61FA" w:rsidP="00251E0A">
      <w:pPr>
        <w:tabs>
          <w:tab w:val="left" w:pos="5304"/>
        </w:tabs>
        <w:jc w:val="center"/>
        <w:rPr>
          <w:rFonts w:ascii="Times New Roman" w:hAnsi="Times New Roman" w:cs="Times New Roman"/>
          <w:b/>
          <w:bCs/>
          <w:sz w:val="24"/>
          <w:szCs w:val="24"/>
        </w:rPr>
      </w:pPr>
    </w:p>
    <w:p w14:paraId="286618AD" w14:textId="77777777" w:rsidR="004B61FA" w:rsidRPr="00A46DC3" w:rsidRDefault="004B61FA" w:rsidP="00251E0A">
      <w:pPr>
        <w:tabs>
          <w:tab w:val="left" w:pos="5304"/>
        </w:tabs>
        <w:jc w:val="center"/>
        <w:rPr>
          <w:rFonts w:ascii="Times New Roman" w:hAnsi="Times New Roman" w:cs="Times New Roman"/>
          <w:b/>
          <w:bCs/>
          <w:sz w:val="24"/>
          <w:szCs w:val="24"/>
        </w:rPr>
      </w:pPr>
    </w:p>
    <w:p w14:paraId="3454D33B" w14:textId="77777777" w:rsidR="004B61FA" w:rsidRPr="00A46DC3" w:rsidRDefault="004B61FA" w:rsidP="00251E0A">
      <w:pPr>
        <w:tabs>
          <w:tab w:val="left" w:pos="5304"/>
        </w:tabs>
        <w:jc w:val="center"/>
        <w:rPr>
          <w:rFonts w:ascii="Times New Roman" w:hAnsi="Times New Roman" w:cs="Times New Roman"/>
          <w:b/>
          <w:bCs/>
          <w:sz w:val="24"/>
          <w:szCs w:val="24"/>
        </w:rPr>
      </w:pPr>
    </w:p>
    <w:p w14:paraId="5A78B81C" w14:textId="77777777" w:rsidR="004B61FA" w:rsidRPr="00A46DC3" w:rsidRDefault="004B61FA" w:rsidP="004E30CF">
      <w:pPr>
        <w:tabs>
          <w:tab w:val="left" w:pos="5304"/>
        </w:tabs>
        <w:rPr>
          <w:rFonts w:ascii="Times New Roman" w:hAnsi="Times New Roman" w:cs="Times New Roman"/>
          <w:b/>
          <w:bCs/>
          <w:sz w:val="24"/>
          <w:szCs w:val="24"/>
        </w:rPr>
      </w:pPr>
    </w:p>
    <w:p w14:paraId="689700FD" w14:textId="77777777" w:rsidR="004E30CF" w:rsidRPr="00A46DC3" w:rsidRDefault="004E30CF" w:rsidP="004E30CF">
      <w:pPr>
        <w:tabs>
          <w:tab w:val="left" w:pos="5304"/>
        </w:tabs>
        <w:rPr>
          <w:rFonts w:ascii="Times New Roman" w:hAnsi="Times New Roman" w:cs="Times New Roman"/>
          <w:b/>
          <w:bCs/>
          <w:sz w:val="24"/>
          <w:szCs w:val="24"/>
        </w:rPr>
      </w:pPr>
    </w:p>
    <w:p w14:paraId="6A702432" w14:textId="77777777" w:rsidR="004B61FA" w:rsidRPr="00A46DC3" w:rsidRDefault="004B61FA" w:rsidP="00251E0A">
      <w:pPr>
        <w:tabs>
          <w:tab w:val="left" w:pos="5304"/>
        </w:tabs>
        <w:jc w:val="center"/>
        <w:rPr>
          <w:rFonts w:ascii="Times New Roman" w:hAnsi="Times New Roman" w:cs="Times New Roman"/>
          <w:b/>
          <w:bCs/>
          <w:sz w:val="24"/>
          <w:szCs w:val="24"/>
        </w:rPr>
      </w:pPr>
    </w:p>
    <w:p w14:paraId="3459D7E6" w14:textId="77777777" w:rsidR="004B61FA" w:rsidRPr="00A46DC3" w:rsidRDefault="004B61FA" w:rsidP="00251E0A">
      <w:pPr>
        <w:tabs>
          <w:tab w:val="left" w:pos="5304"/>
        </w:tabs>
        <w:jc w:val="center"/>
        <w:rPr>
          <w:rFonts w:ascii="Times New Roman" w:hAnsi="Times New Roman" w:cs="Times New Roman"/>
          <w:b/>
          <w:bCs/>
          <w:sz w:val="24"/>
          <w:szCs w:val="24"/>
        </w:rPr>
      </w:pPr>
    </w:p>
    <w:p w14:paraId="1E9D043E" w14:textId="6B298ED8" w:rsidR="00251E0A" w:rsidRPr="00A46DC3" w:rsidRDefault="00251E0A" w:rsidP="00251E0A">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CHAPTER 3: THEORETICAL FRAMEWORK</w:t>
      </w:r>
    </w:p>
    <w:p w14:paraId="2D7FF931" w14:textId="77777777" w:rsidR="00251E0A" w:rsidRPr="00A46DC3" w:rsidRDefault="00251E0A" w:rsidP="00251E0A">
      <w:pPr>
        <w:tabs>
          <w:tab w:val="left" w:pos="5304"/>
        </w:tabs>
        <w:jc w:val="center"/>
        <w:rPr>
          <w:rFonts w:ascii="Times New Roman" w:hAnsi="Times New Roman" w:cs="Times New Roman"/>
          <w:b/>
          <w:bCs/>
          <w:sz w:val="24"/>
          <w:szCs w:val="24"/>
        </w:rPr>
      </w:pPr>
    </w:p>
    <w:p w14:paraId="288B7A53" w14:textId="77777777" w:rsidR="000624A6" w:rsidRPr="00A46DC3" w:rsidRDefault="000624A6" w:rsidP="00251E0A">
      <w:pPr>
        <w:tabs>
          <w:tab w:val="left" w:pos="5304"/>
        </w:tabs>
        <w:jc w:val="center"/>
        <w:rPr>
          <w:rFonts w:ascii="Times New Roman" w:hAnsi="Times New Roman" w:cs="Times New Roman"/>
          <w:b/>
          <w:bCs/>
          <w:sz w:val="24"/>
          <w:szCs w:val="24"/>
        </w:rPr>
      </w:pPr>
    </w:p>
    <w:p w14:paraId="05A2956B" w14:textId="77777777" w:rsidR="000624A6" w:rsidRPr="00A46DC3" w:rsidRDefault="000624A6" w:rsidP="00251E0A">
      <w:pPr>
        <w:tabs>
          <w:tab w:val="left" w:pos="5304"/>
        </w:tabs>
        <w:jc w:val="center"/>
        <w:rPr>
          <w:rFonts w:ascii="Times New Roman" w:hAnsi="Times New Roman" w:cs="Times New Roman"/>
          <w:b/>
          <w:bCs/>
          <w:sz w:val="24"/>
          <w:szCs w:val="24"/>
        </w:rPr>
      </w:pPr>
    </w:p>
    <w:p w14:paraId="59B85E61" w14:textId="77777777" w:rsidR="000624A6" w:rsidRPr="00A46DC3" w:rsidRDefault="000624A6" w:rsidP="00251E0A">
      <w:pPr>
        <w:tabs>
          <w:tab w:val="left" w:pos="5304"/>
        </w:tabs>
        <w:jc w:val="center"/>
        <w:rPr>
          <w:rFonts w:ascii="Times New Roman" w:hAnsi="Times New Roman" w:cs="Times New Roman"/>
          <w:b/>
          <w:bCs/>
          <w:sz w:val="24"/>
          <w:szCs w:val="24"/>
        </w:rPr>
      </w:pPr>
    </w:p>
    <w:p w14:paraId="38D9338A" w14:textId="77777777" w:rsidR="000624A6" w:rsidRPr="00A46DC3" w:rsidRDefault="000624A6" w:rsidP="00251E0A">
      <w:pPr>
        <w:tabs>
          <w:tab w:val="left" w:pos="5304"/>
        </w:tabs>
        <w:jc w:val="center"/>
        <w:rPr>
          <w:rFonts w:ascii="Times New Roman" w:hAnsi="Times New Roman" w:cs="Times New Roman"/>
          <w:b/>
          <w:bCs/>
          <w:sz w:val="24"/>
          <w:szCs w:val="24"/>
        </w:rPr>
      </w:pPr>
    </w:p>
    <w:p w14:paraId="773BDEEC" w14:textId="77777777" w:rsidR="000624A6" w:rsidRPr="00A46DC3" w:rsidRDefault="000624A6" w:rsidP="00251E0A">
      <w:pPr>
        <w:tabs>
          <w:tab w:val="left" w:pos="5304"/>
        </w:tabs>
        <w:jc w:val="center"/>
        <w:rPr>
          <w:rFonts w:ascii="Times New Roman" w:hAnsi="Times New Roman" w:cs="Times New Roman"/>
          <w:b/>
          <w:bCs/>
          <w:sz w:val="24"/>
          <w:szCs w:val="24"/>
        </w:rPr>
      </w:pPr>
    </w:p>
    <w:p w14:paraId="1DB9D174" w14:textId="77777777" w:rsidR="000624A6" w:rsidRPr="00A46DC3" w:rsidRDefault="000624A6" w:rsidP="00251E0A">
      <w:pPr>
        <w:tabs>
          <w:tab w:val="left" w:pos="5304"/>
        </w:tabs>
        <w:jc w:val="center"/>
        <w:rPr>
          <w:rFonts w:ascii="Times New Roman" w:hAnsi="Times New Roman" w:cs="Times New Roman"/>
          <w:b/>
          <w:bCs/>
          <w:sz w:val="24"/>
          <w:szCs w:val="24"/>
        </w:rPr>
      </w:pPr>
    </w:p>
    <w:p w14:paraId="622E4FE3" w14:textId="77777777" w:rsidR="000624A6" w:rsidRPr="00A46DC3" w:rsidRDefault="000624A6" w:rsidP="00251E0A">
      <w:pPr>
        <w:tabs>
          <w:tab w:val="left" w:pos="5304"/>
        </w:tabs>
        <w:jc w:val="center"/>
        <w:rPr>
          <w:rFonts w:ascii="Times New Roman" w:hAnsi="Times New Roman" w:cs="Times New Roman"/>
          <w:b/>
          <w:bCs/>
          <w:sz w:val="24"/>
          <w:szCs w:val="24"/>
        </w:rPr>
      </w:pPr>
    </w:p>
    <w:p w14:paraId="29D8D6F4" w14:textId="77777777" w:rsidR="000624A6" w:rsidRPr="00A46DC3" w:rsidRDefault="000624A6" w:rsidP="00251E0A">
      <w:pPr>
        <w:tabs>
          <w:tab w:val="left" w:pos="5304"/>
        </w:tabs>
        <w:jc w:val="center"/>
        <w:rPr>
          <w:rFonts w:ascii="Times New Roman" w:hAnsi="Times New Roman" w:cs="Times New Roman"/>
          <w:b/>
          <w:bCs/>
          <w:sz w:val="24"/>
          <w:szCs w:val="24"/>
        </w:rPr>
      </w:pPr>
    </w:p>
    <w:p w14:paraId="6D1847D6" w14:textId="77777777" w:rsidR="000624A6" w:rsidRPr="00A46DC3" w:rsidRDefault="000624A6" w:rsidP="00251E0A">
      <w:pPr>
        <w:tabs>
          <w:tab w:val="left" w:pos="5304"/>
        </w:tabs>
        <w:jc w:val="center"/>
        <w:rPr>
          <w:rFonts w:ascii="Times New Roman" w:hAnsi="Times New Roman" w:cs="Times New Roman"/>
          <w:b/>
          <w:bCs/>
          <w:sz w:val="24"/>
          <w:szCs w:val="24"/>
        </w:rPr>
      </w:pPr>
    </w:p>
    <w:p w14:paraId="360D1EA1" w14:textId="77777777" w:rsidR="000624A6" w:rsidRPr="00A46DC3" w:rsidRDefault="000624A6" w:rsidP="00251E0A">
      <w:pPr>
        <w:tabs>
          <w:tab w:val="left" w:pos="5304"/>
        </w:tabs>
        <w:jc w:val="center"/>
        <w:rPr>
          <w:rFonts w:ascii="Times New Roman" w:hAnsi="Times New Roman" w:cs="Times New Roman"/>
          <w:b/>
          <w:bCs/>
          <w:sz w:val="24"/>
          <w:szCs w:val="24"/>
        </w:rPr>
      </w:pPr>
    </w:p>
    <w:p w14:paraId="776CD8CB" w14:textId="77777777" w:rsidR="000624A6" w:rsidRPr="00A46DC3" w:rsidRDefault="000624A6" w:rsidP="00251E0A">
      <w:pPr>
        <w:tabs>
          <w:tab w:val="left" w:pos="5304"/>
        </w:tabs>
        <w:jc w:val="center"/>
        <w:rPr>
          <w:rFonts w:ascii="Times New Roman" w:hAnsi="Times New Roman" w:cs="Times New Roman"/>
          <w:b/>
          <w:bCs/>
          <w:sz w:val="24"/>
          <w:szCs w:val="24"/>
        </w:rPr>
      </w:pPr>
    </w:p>
    <w:p w14:paraId="34F4855F" w14:textId="77777777" w:rsidR="000624A6" w:rsidRPr="00A46DC3" w:rsidRDefault="000624A6" w:rsidP="00251E0A">
      <w:pPr>
        <w:tabs>
          <w:tab w:val="left" w:pos="5304"/>
        </w:tabs>
        <w:jc w:val="center"/>
        <w:rPr>
          <w:rFonts w:ascii="Times New Roman" w:hAnsi="Times New Roman" w:cs="Times New Roman"/>
          <w:b/>
          <w:bCs/>
          <w:sz w:val="24"/>
          <w:szCs w:val="24"/>
        </w:rPr>
      </w:pPr>
    </w:p>
    <w:p w14:paraId="7D11E224" w14:textId="77777777" w:rsidR="000624A6" w:rsidRPr="00A46DC3" w:rsidRDefault="000624A6" w:rsidP="00251E0A">
      <w:pPr>
        <w:tabs>
          <w:tab w:val="left" w:pos="5304"/>
        </w:tabs>
        <w:jc w:val="center"/>
        <w:rPr>
          <w:rFonts w:ascii="Times New Roman" w:hAnsi="Times New Roman" w:cs="Times New Roman"/>
          <w:b/>
          <w:bCs/>
          <w:sz w:val="24"/>
          <w:szCs w:val="24"/>
        </w:rPr>
      </w:pPr>
    </w:p>
    <w:p w14:paraId="5BCF296B" w14:textId="77777777" w:rsidR="00304918" w:rsidRPr="00A46DC3" w:rsidRDefault="00304918" w:rsidP="00304918">
      <w:pPr>
        <w:rPr>
          <w:rFonts w:ascii="Times New Roman" w:hAnsi="Times New Roman" w:cs="Times New Roman"/>
          <w:b/>
          <w:sz w:val="24"/>
          <w:szCs w:val="24"/>
        </w:rPr>
      </w:pPr>
      <w:r w:rsidRPr="00A46DC3">
        <w:rPr>
          <w:rFonts w:ascii="Times New Roman" w:hAnsi="Times New Roman" w:cs="Times New Roman"/>
          <w:b/>
          <w:sz w:val="24"/>
          <w:szCs w:val="24"/>
        </w:rPr>
        <w:t>3.1 NON-PERFORMING ASSET (NPA)</w:t>
      </w:r>
    </w:p>
    <w:p w14:paraId="501BC7BE" w14:textId="3ED6D79E"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t>A Non-Performing Asset (NPA) is an asset, including a leased asset, loan or investment, which ceases to generate income for the bank. NPA, as defined by the Reserve Bank of India in the "Prudential Norms on income recognition, asset classification and provisioning pertaining to advances" is a loan or an advance where: Interest and for instalment of principal remain overdue for a period of more than 90 days in respect of a term loan</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The account remains "out of order" in respect of an overdraft/cash credit (OD. CC)</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 xml:space="preserve">The bill remains </w:t>
      </w:r>
      <w:r w:rsidRPr="00A46DC3">
        <w:rPr>
          <w:rFonts w:ascii="Times New Roman" w:hAnsi="Times New Roman" w:cs="Times New Roman"/>
          <w:sz w:val="24"/>
          <w:szCs w:val="24"/>
        </w:rPr>
        <w:lastRenderedPageBreak/>
        <w:t>overdue for a period of more than 90 days in the case of bills purchased and discounted</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The instalment of principal or interest thereon remains overdue for two crop seasons for short duration crops,</w:t>
      </w:r>
      <w:r w:rsidR="004B61FA" w:rsidRPr="00A46DC3">
        <w:rPr>
          <w:rFonts w:ascii="Times New Roman" w:hAnsi="Times New Roman" w:cs="Times New Roman"/>
          <w:sz w:val="24"/>
          <w:szCs w:val="24"/>
        </w:rPr>
        <w:t xml:space="preserve"> </w:t>
      </w:r>
      <w:proofErr w:type="gramStart"/>
      <w:r w:rsidRPr="00A46DC3">
        <w:rPr>
          <w:rFonts w:ascii="Times New Roman" w:hAnsi="Times New Roman" w:cs="Times New Roman"/>
          <w:sz w:val="24"/>
          <w:szCs w:val="24"/>
        </w:rPr>
        <w:t>The</w:t>
      </w:r>
      <w:proofErr w:type="gramEnd"/>
      <w:r w:rsidRPr="00A46DC3">
        <w:rPr>
          <w:rFonts w:ascii="Times New Roman" w:hAnsi="Times New Roman" w:cs="Times New Roman"/>
          <w:sz w:val="24"/>
          <w:szCs w:val="24"/>
        </w:rPr>
        <w:t xml:space="preserve"> amount of liquidity facility remains outstanding for more than 90 days, in respect of a securitization transaction undertaken in terms of RBI guidelines on securitisation</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The overdue receivables representing positive mark-to-market value of a derivative contract remain unpaid for a period of 90 days from the specified due date for payment.</w:t>
      </w:r>
    </w:p>
    <w:p w14:paraId="54CA9A57" w14:textId="77777777" w:rsidR="00304918" w:rsidRPr="00A46DC3" w:rsidRDefault="00304918" w:rsidP="00304918">
      <w:pPr>
        <w:rPr>
          <w:rFonts w:ascii="Times New Roman" w:hAnsi="Times New Roman" w:cs="Times New Roman"/>
          <w:sz w:val="24"/>
          <w:szCs w:val="24"/>
        </w:rPr>
      </w:pPr>
    </w:p>
    <w:p w14:paraId="7B8FDF08" w14:textId="77777777" w:rsidR="00304918" w:rsidRPr="00A46DC3" w:rsidRDefault="00304918" w:rsidP="00304918">
      <w:pPr>
        <w:rPr>
          <w:rFonts w:ascii="Times New Roman" w:hAnsi="Times New Roman" w:cs="Times New Roman"/>
          <w:b/>
          <w:sz w:val="24"/>
          <w:szCs w:val="24"/>
        </w:rPr>
      </w:pPr>
      <w:r w:rsidRPr="00A46DC3">
        <w:rPr>
          <w:rFonts w:ascii="Times New Roman" w:hAnsi="Times New Roman" w:cs="Times New Roman"/>
          <w:b/>
          <w:sz w:val="24"/>
          <w:szCs w:val="24"/>
        </w:rPr>
        <w:t>3.2 OUT OF ORDER</w:t>
      </w:r>
    </w:p>
    <w:p w14:paraId="596C3788"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An account should be treated as out of order if the outstanding balance remains continuously in excess of the sanctioned limit/ drawing power. In cases where the outstanding balance in the principle operating account is less than the sanctioned limit/ drawing power, but there are no credits continuously for 90 days as on the date of balance sheet or credits are not enough to cover the interest debited during the same period, these accounts should be treated as 'out of order.</w:t>
      </w:r>
    </w:p>
    <w:p w14:paraId="279B3F8A" w14:textId="77777777" w:rsidR="00304918" w:rsidRPr="00A46DC3" w:rsidRDefault="00304918" w:rsidP="00304918">
      <w:pPr>
        <w:rPr>
          <w:rFonts w:ascii="Times New Roman" w:hAnsi="Times New Roman" w:cs="Times New Roman"/>
          <w:sz w:val="24"/>
          <w:szCs w:val="24"/>
        </w:rPr>
      </w:pPr>
    </w:p>
    <w:p w14:paraId="09E15087" w14:textId="77777777" w:rsidR="00304918" w:rsidRPr="00A46DC3" w:rsidRDefault="00304918" w:rsidP="00304918">
      <w:pPr>
        <w:rPr>
          <w:rFonts w:ascii="Times New Roman" w:hAnsi="Times New Roman" w:cs="Times New Roman"/>
          <w:b/>
          <w:sz w:val="24"/>
          <w:szCs w:val="24"/>
        </w:rPr>
      </w:pPr>
      <w:r w:rsidRPr="00A46DC3">
        <w:rPr>
          <w:rFonts w:ascii="Times New Roman" w:hAnsi="Times New Roman" w:cs="Times New Roman"/>
          <w:b/>
          <w:sz w:val="24"/>
          <w:szCs w:val="24"/>
        </w:rPr>
        <w:t>3.3 OVERDUE</w:t>
      </w:r>
    </w:p>
    <w:p w14:paraId="23DAF1C8"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An amount due to the bank under any credit facility is "overdue", if it is not paid on the due date fixed by the bank.</w:t>
      </w:r>
    </w:p>
    <w:p w14:paraId="217A5BFA" w14:textId="77777777" w:rsidR="00304918" w:rsidRPr="00A46DC3" w:rsidRDefault="00304918" w:rsidP="00304918">
      <w:pPr>
        <w:rPr>
          <w:rFonts w:ascii="Times New Roman" w:hAnsi="Times New Roman" w:cs="Times New Roman"/>
          <w:b/>
          <w:sz w:val="24"/>
          <w:szCs w:val="24"/>
        </w:rPr>
      </w:pPr>
    </w:p>
    <w:p w14:paraId="6E2742E2"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b/>
          <w:sz w:val="24"/>
          <w:szCs w:val="24"/>
        </w:rPr>
        <w:t>3.4 TYPES OF NPAs</w:t>
      </w:r>
    </w:p>
    <w:p w14:paraId="733DD9BA" w14:textId="668A8782"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 xml:space="preserve">There are two types of NPAs, </w:t>
      </w:r>
      <w:r w:rsidR="004B61FA" w:rsidRPr="00A46DC3">
        <w:rPr>
          <w:rFonts w:ascii="Times New Roman" w:hAnsi="Times New Roman" w:cs="Times New Roman"/>
          <w:sz w:val="24"/>
          <w:szCs w:val="24"/>
        </w:rPr>
        <w:t>they</w:t>
      </w:r>
      <w:r w:rsidRPr="00A46DC3">
        <w:rPr>
          <w:rFonts w:ascii="Times New Roman" w:hAnsi="Times New Roman" w:cs="Times New Roman"/>
          <w:sz w:val="24"/>
          <w:szCs w:val="24"/>
        </w:rPr>
        <w:t xml:space="preserve"> are</w:t>
      </w:r>
      <w:r w:rsidR="004B61FA" w:rsidRPr="00A46DC3">
        <w:rPr>
          <w:rFonts w:ascii="Times New Roman" w:hAnsi="Times New Roman" w:cs="Times New Roman"/>
          <w:sz w:val="24"/>
          <w:szCs w:val="24"/>
        </w:rPr>
        <w:t>:</w:t>
      </w:r>
    </w:p>
    <w:p w14:paraId="118693DC" w14:textId="6B7D7A5E"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t>1. Gross NPA:</w:t>
      </w:r>
    </w:p>
    <w:p w14:paraId="0B684EB0" w14:textId="3E64B8DD" w:rsidR="00304918" w:rsidRPr="00A46DC3" w:rsidRDefault="00304918" w:rsidP="00C37FFD">
      <w:pPr>
        <w:rPr>
          <w:rFonts w:ascii="Times New Roman" w:hAnsi="Times New Roman" w:cs="Times New Roman"/>
          <w:sz w:val="24"/>
          <w:szCs w:val="24"/>
        </w:rPr>
      </w:pPr>
      <w:r w:rsidRPr="00A46DC3">
        <w:rPr>
          <w:rFonts w:ascii="Times New Roman" w:hAnsi="Times New Roman" w:cs="Times New Roman"/>
          <w:sz w:val="24"/>
          <w:szCs w:val="24"/>
        </w:rPr>
        <w:t xml:space="preserve">Gross NPAs are the sum total of all loan assets that are classified as NPAs as per RBI guidelines as on balance sheet date Gross NPA reflects the real NPAs and the quality of the loans made by banks, </w:t>
      </w:r>
      <w:r w:rsidR="004B61FA" w:rsidRPr="00A46DC3">
        <w:rPr>
          <w:rFonts w:ascii="Times New Roman" w:hAnsi="Times New Roman" w:cs="Times New Roman"/>
          <w:sz w:val="24"/>
          <w:szCs w:val="24"/>
        </w:rPr>
        <w:t>it</w:t>
      </w:r>
      <w:r w:rsidRPr="00A46DC3">
        <w:rPr>
          <w:rFonts w:ascii="Times New Roman" w:hAnsi="Times New Roman" w:cs="Times New Roman"/>
          <w:sz w:val="24"/>
          <w:szCs w:val="24"/>
        </w:rPr>
        <w:t xml:space="preserve"> consists of all the non-standard assets like as sub- standard, doubtful, and loan assets. It can be calculated with the help of following ratio</w:t>
      </w:r>
    </w:p>
    <w:p w14:paraId="3B9F7374" w14:textId="1A5275B9"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 xml:space="preserve">Gross NPA Ratio </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w:t>
      </w:r>
      <w:r w:rsidR="004B61FA" w:rsidRPr="00A46DC3">
        <w:rPr>
          <w:rFonts w:ascii="Times New Roman" w:hAnsi="Times New Roman" w:cs="Times New Roman"/>
          <w:sz w:val="24"/>
          <w:szCs w:val="24"/>
        </w:rPr>
        <w:t>otal NPA/</w:t>
      </w:r>
      <w:r w:rsidRPr="00A46DC3">
        <w:rPr>
          <w:rFonts w:ascii="Times New Roman" w:hAnsi="Times New Roman" w:cs="Times New Roman"/>
          <w:sz w:val="24"/>
          <w:szCs w:val="24"/>
        </w:rPr>
        <w:t>T</w:t>
      </w:r>
      <w:r w:rsidR="004B61FA" w:rsidRPr="00A46DC3">
        <w:rPr>
          <w:rFonts w:ascii="Times New Roman" w:hAnsi="Times New Roman" w:cs="Times New Roman"/>
          <w:sz w:val="24"/>
          <w:szCs w:val="24"/>
        </w:rPr>
        <w:t>otal</w:t>
      </w:r>
      <w:r w:rsidRPr="00A46DC3">
        <w:rPr>
          <w:rFonts w:ascii="Times New Roman" w:hAnsi="Times New Roman" w:cs="Times New Roman"/>
          <w:sz w:val="24"/>
          <w:szCs w:val="24"/>
        </w:rPr>
        <w:t xml:space="preserve"> A</w:t>
      </w:r>
      <w:r w:rsidR="004B61FA" w:rsidRPr="00A46DC3">
        <w:rPr>
          <w:rFonts w:ascii="Times New Roman" w:hAnsi="Times New Roman" w:cs="Times New Roman"/>
          <w:sz w:val="24"/>
          <w:szCs w:val="24"/>
        </w:rPr>
        <w:t>dvances</w:t>
      </w:r>
    </w:p>
    <w:p w14:paraId="6F1D07D9" w14:textId="77777777" w:rsidR="00304918" w:rsidRPr="00A46DC3" w:rsidRDefault="00304918" w:rsidP="00304918">
      <w:pPr>
        <w:rPr>
          <w:rFonts w:ascii="Times New Roman" w:hAnsi="Times New Roman" w:cs="Times New Roman"/>
          <w:sz w:val="24"/>
          <w:szCs w:val="24"/>
        </w:rPr>
      </w:pPr>
    </w:p>
    <w:p w14:paraId="1EF515EB" w14:textId="687AEC55"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t>2. Net NPA:</w:t>
      </w:r>
    </w:p>
    <w:p w14:paraId="3B569F8E"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Net NPAs are those types of NPAs in which the bank has deducted the provision regarding NPAs.Net NPA is obtained by reducing the provision from gross NPAs and shows the actual burden of banks. It can be calculated by following:</w:t>
      </w:r>
    </w:p>
    <w:p w14:paraId="0533D37F" w14:textId="1F70EC3F"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Net NPA</w:t>
      </w:r>
      <w:r w:rsidR="004B61FA" w:rsidRPr="00A46DC3">
        <w:rPr>
          <w:rFonts w:ascii="Times New Roman" w:hAnsi="Times New Roman" w:cs="Times New Roman"/>
          <w:sz w:val="24"/>
          <w:szCs w:val="24"/>
        </w:rPr>
        <w:t>=</w:t>
      </w:r>
      <w:r w:rsidRPr="00A46DC3">
        <w:rPr>
          <w:rFonts w:ascii="Times New Roman" w:hAnsi="Times New Roman" w:cs="Times New Roman"/>
          <w:sz w:val="24"/>
          <w:szCs w:val="24"/>
        </w:rPr>
        <w:t>Gross NPA - (Balance in interest suspense account + DICGC/ECGC claims received and held pending adjustment part payment received and kept in suspense account + total provisions held).</w:t>
      </w:r>
    </w:p>
    <w:p w14:paraId="30455880" w14:textId="77777777" w:rsidR="00304918" w:rsidRPr="00A46DC3" w:rsidRDefault="00304918" w:rsidP="00304918">
      <w:pPr>
        <w:rPr>
          <w:rFonts w:ascii="Times New Roman" w:hAnsi="Times New Roman" w:cs="Times New Roman"/>
          <w:sz w:val="24"/>
          <w:szCs w:val="24"/>
        </w:rPr>
      </w:pPr>
    </w:p>
    <w:p w14:paraId="731E0BE7" w14:textId="4A23F45E" w:rsidR="00304918" w:rsidRPr="00A46DC3" w:rsidRDefault="00304918" w:rsidP="004B61FA">
      <w:pPr>
        <w:rPr>
          <w:rFonts w:ascii="Times New Roman" w:hAnsi="Times New Roman" w:cs="Times New Roman"/>
          <w:b/>
          <w:sz w:val="24"/>
          <w:szCs w:val="24"/>
        </w:rPr>
      </w:pPr>
      <w:r w:rsidRPr="00A46DC3">
        <w:rPr>
          <w:rFonts w:ascii="Times New Roman" w:hAnsi="Times New Roman" w:cs="Times New Roman"/>
          <w:b/>
          <w:sz w:val="24"/>
          <w:szCs w:val="24"/>
        </w:rPr>
        <w:t>3.5 CATEGORIES OF NPA</w:t>
      </w:r>
    </w:p>
    <w:p w14:paraId="4EFB28E0" w14:textId="60629EED"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lastRenderedPageBreak/>
        <w:t>Non-performing assets can be classified into the following three categories based on the period for which the asset has remained non-performing and the extent to which realisation of the dues is possible.</w:t>
      </w:r>
    </w:p>
    <w:p w14:paraId="2737EF06" w14:textId="4277CFB3"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t>a. Sub-standard assets-A sub-standard asset would be one, which has remained NPA for a period less than or equal to 12 months.</w:t>
      </w:r>
    </w:p>
    <w:p w14:paraId="5EE76FA3" w14:textId="0967EB8F" w:rsidR="00304918" w:rsidRPr="00A46DC3" w:rsidRDefault="00304918" w:rsidP="004B61FA">
      <w:pPr>
        <w:rPr>
          <w:rFonts w:ascii="Times New Roman" w:hAnsi="Times New Roman" w:cs="Times New Roman"/>
          <w:sz w:val="24"/>
          <w:szCs w:val="24"/>
        </w:rPr>
      </w:pPr>
      <w:r w:rsidRPr="00A46DC3">
        <w:rPr>
          <w:rFonts w:ascii="Times New Roman" w:hAnsi="Times New Roman" w:cs="Times New Roman"/>
          <w:sz w:val="24"/>
          <w:szCs w:val="24"/>
        </w:rPr>
        <w:t>b. Doubtful assets-As an asset would be classified as doubtful if it has remained in the sub-standard category for a period of 12 months. As an asset, classified as doubtful asset, is further classified as "doubtful 1" during the first year, as</w:t>
      </w:r>
    </w:p>
    <w:p w14:paraId="6FB2A25E"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c. Loss assets-A loss asset is one where loss has been identified by the bank or internal or external auditors or the RBI inspection, but the amount has not been written off wholly.</w:t>
      </w:r>
    </w:p>
    <w:p w14:paraId="330BEE67" w14:textId="77777777" w:rsidR="00304918" w:rsidRPr="00A46DC3" w:rsidRDefault="00304918" w:rsidP="00304918">
      <w:pPr>
        <w:rPr>
          <w:rFonts w:ascii="Times New Roman" w:hAnsi="Times New Roman" w:cs="Times New Roman"/>
          <w:sz w:val="24"/>
          <w:szCs w:val="24"/>
        </w:rPr>
      </w:pPr>
    </w:p>
    <w:p w14:paraId="6BC5C1CD" w14:textId="77777777" w:rsidR="00304918" w:rsidRPr="00A46DC3" w:rsidRDefault="00304918" w:rsidP="00304918">
      <w:pPr>
        <w:rPr>
          <w:rFonts w:ascii="Times New Roman" w:hAnsi="Times New Roman" w:cs="Times New Roman"/>
          <w:b/>
          <w:sz w:val="24"/>
          <w:szCs w:val="24"/>
        </w:rPr>
      </w:pPr>
      <w:r w:rsidRPr="00A46DC3">
        <w:rPr>
          <w:rFonts w:ascii="Times New Roman" w:hAnsi="Times New Roman" w:cs="Times New Roman"/>
          <w:b/>
          <w:sz w:val="24"/>
          <w:szCs w:val="24"/>
        </w:rPr>
        <w:t>3.6 FACTORS FOR RISE IN NPAS</w:t>
      </w:r>
    </w:p>
    <w:p w14:paraId="1CA8D441"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The banking sector has been facing the serious problems of the rising NPAs. But the problem of NPAs is more in public sector banks when compared to private sector banks and foreign banks. The NPAs in banking industry are growing due to external as well as internal factors</w:t>
      </w:r>
    </w:p>
    <w:p w14:paraId="13E381FB" w14:textId="77777777" w:rsidR="00304918" w:rsidRPr="00A46DC3" w:rsidRDefault="00304918" w:rsidP="00304918">
      <w:pPr>
        <w:rPr>
          <w:rFonts w:ascii="Times New Roman" w:hAnsi="Times New Roman" w:cs="Times New Roman"/>
          <w:sz w:val="24"/>
          <w:szCs w:val="24"/>
        </w:rPr>
      </w:pPr>
    </w:p>
    <w:p w14:paraId="47559C20" w14:textId="5DFA8273" w:rsidR="00304918" w:rsidRPr="00A46DC3" w:rsidRDefault="00304918" w:rsidP="004B61FA">
      <w:pPr>
        <w:rPr>
          <w:rFonts w:ascii="Times New Roman" w:hAnsi="Times New Roman" w:cs="Times New Roman"/>
          <w:b/>
          <w:sz w:val="24"/>
          <w:szCs w:val="24"/>
        </w:rPr>
      </w:pPr>
      <w:r w:rsidRPr="00A46DC3">
        <w:rPr>
          <w:rFonts w:ascii="Times New Roman" w:hAnsi="Times New Roman" w:cs="Times New Roman"/>
          <w:b/>
          <w:sz w:val="24"/>
          <w:szCs w:val="24"/>
        </w:rPr>
        <w:t xml:space="preserve">EXTERNAL </w:t>
      </w:r>
      <w:r w:rsidR="004B61FA" w:rsidRPr="00A46DC3">
        <w:rPr>
          <w:rFonts w:ascii="Times New Roman" w:hAnsi="Times New Roman" w:cs="Times New Roman"/>
          <w:b/>
          <w:sz w:val="24"/>
          <w:szCs w:val="24"/>
        </w:rPr>
        <w:t>FACTORS: -</w:t>
      </w:r>
    </w:p>
    <w:p w14:paraId="3A535FED"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A. Ineffective recovery tribunal:</w:t>
      </w:r>
    </w:p>
    <w:p w14:paraId="62433334" w14:textId="5820D9D4"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 xml:space="preserve">The Govt. has set of numbers of recovery tribunals, which works for recovery of loans and advances. Due to their negligence and ineffectiveness in their work the bank </w:t>
      </w:r>
      <w:proofErr w:type="gramStart"/>
      <w:r w:rsidRPr="00A46DC3">
        <w:rPr>
          <w:rFonts w:ascii="Times New Roman" w:hAnsi="Times New Roman" w:cs="Times New Roman"/>
          <w:sz w:val="24"/>
          <w:szCs w:val="24"/>
        </w:rPr>
        <w:t>suffer</w:t>
      </w:r>
      <w:proofErr w:type="gramEnd"/>
      <w:r w:rsidRPr="00A46DC3">
        <w:rPr>
          <w:rFonts w:ascii="Times New Roman" w:hAnsi="Times New Roman" w:cs="Times New Roman"/>
          <w:sz w:val="24"/>
          <w:szCs w:val="24"/>
        </w:rPr>
        <w:t xml:space="preserve"> the consequence of non-recover, thereby reducing their profitability and liquidity.</w:t>
      </w:r>
    </w:p>
    <w:p w14:paraId="4710420F" w14:textId="256A171E"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 xml:space="preserve">B. </w:t>
      </w:r>
      <w:r w:rsidR="004B61FA" w:rsidRPr="00A46DC3">
        <w:rPr>
          <w:rFonts w:ascii="Times New Roman" w:hAnsi="Times New Roman" w:cs="Times New Roman"/>
          <w:sz w:val="24"/>
          <w:szCs w:val="24"/>
        </w:rPr>
        <w:t>Wilful</w:t>
      </w:r>
      <w:r w:rsidRPr="00A46DC3">
        <w:rPr>
          <w:rFonts w:ascii="Times New Roman" w:hAnsi="Times New Roman" w:cs="Times New Roman"/>
          <w:sz w:val="24"/>
          <w:szCs w:val="24"/>
        </w:rPr>
        <w:t xml:space="preserve"> Defaults:</w:t>
      </w:r>
    </w:p>
    <w:p w14:paraId="374C351E" w14:textId="55739A64"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There are borrowers who are able to pay back loans but are intentionally withdrawing it. These groups of people should be identified and proper measures should be taken in order to get back the money extended to them as advances and loans.</w:t>
      </w:r>
    </w:p>
    <w:p w14:paraId="019E8AAE"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C. Natural calamities:</w:t>
      </w:r>
    </w:p>
    <w:p w14:paraId="0295A740" w14:textId="3FB8AFBE"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 xml:space="preserve">This is the measure factor, which is creating alarming rise in NPAs of the PSBs. Every now and then India is hit by major natural calamities thus making the borrowers unable to pay back </w:t>
      </w:r>
      <w:r w:rsidR="00F46759" w:rsidRPr="00A46DC3">
        <w:rPr>
          <w:rFonts w:ascii="Times New Roman" w:hAnsi="Times New Roman" w:cs="Times New Roman"/>
          <w:sz w:val="24"/>
          <w:szCs w:val="24"/>
        </w:rPr>
        <w:t>their</w:t>
      </w:r>
      <w:r w:rsidRPr="00A46DC3">
        <w:rPr>
          <w:rFonts w:ascii="Times New Roman" w:hAnsi="Times New Roman" w:cs="Times New Roman"/>
          <w:sz w:val="24"/>
          <w:szCs w:val="24"/>
        </w:rPr>
        <w:t xml:space="preserve"> loans. </w:t>
      </w:r>
      <w:proofErr w:type="gramStart"/>
      <w:r w:rsidRPr="00A46DC3">
        <w:rPr>
          <w:rFonts w:ascii="Times New Roman" w:hAnsi="Times New Roman" w:cs="Times New Roman"/>
          <w:sz w:val="24"/>
          <w:szCs w:val="24"/>
        </w:rPr>
        <w:t>Thus</w:t>
      </w:r>
      <w:proofErr w:type="gramEnd"/>
      <w:r w:rsidRPr="00A46DC3">
        <w:rPr>
          <w:rFonts w:ascii="Times New Roman" w:hAnsi="Times New Roman" w:cs="Times New Roman"/>
          <w:sz w:val="24"/>
          <w:szCs w:val="24"/>
        </w:rPr>
        <w:t xml:space="preserve"> the bank has to make large amount of provisions in order to compensate those loans, hence end up the fiscal with a reduced profit.</w:t>
      </w:r>
    </w:p>
    <w:p w14:paraId="423DF700"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D. Industrial sickness:</w:t>
      </w:r>
    </w:p>
    <w:p w14:paraId="6157ED0E" w14:textId="60101B76"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Improper project handling, ineffective management, lack of adequate resources, lack of advance technology, day to day changing govt. Policies give birth to industrial sickness. Hence the banks that finance those industries ultimately end up with a low recovery of their loans reducing their profit and liquidity.</w:t>
      </w:r>
    </w:p>
    <w:p w14:paraId="052E23FB"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E. Mechanical sickness:</w:t>
      </w:r>
    </w:p>
    <w:p w14:paraId="32E7A9DC" w14:textId="59A1AA4D"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lastRenderedPageBreak/>
        <w:t xml:space="preserve">Improper task taking care of. Ineffectual administration, absence of sufficient asset, absence of development innovation, everyday evolving govt. Arrangements bring forth mechanical ailment. </w:t>
      </w:r>
      <w:proofErr w:type="gramStart"/>
      <w:r w:rsidRPr="00A46DC3">
        <w:rPr>
          <w:rFonts w:ascii="Times New Roman" w:hAnsi="Times New Roman" w:cs="Times New Roman"/>
          <w:sz w:val="24"/>
          <w:szCs w:val="24"/>
        </w:rPr>
        <w:t>Consequently</w:t>
      </w:r>
      <w:proofErr w:type="gramEnd"/>
      <w:r w:rsidRPr="00A46DC3">
        <w:rPr>
          <w:rFonts w:ascii="Times New Roman" w:hAnsi="Times New Roman" w:cs="Times New Roman"/>
          <w:sz w:val="24"/>
          <w:szCs w:val="24"/>
        </w:rPr>
        <w:t xml:space="preserve"> the banks that fund those business eventually wind up with a low recuperation of their advances lessening their benefit and liquidity</w:t>
      </w:r>
    </w:p>
    <w:p w14:paraId="7C6C3050"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F. Lack of demand:</w:t>
      </w:r>
    </w:p>
    <w:p w14:paraId="0A0EF063" w14:textId="061FACA0"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 xml:space="preserve">Entrepreneurs in India could not foresee their product demand and start production which ultimately piles up their product thus making them unable to pay back the money they borrow to operate these activities. The banks recover the amount by selling of their assets, which covers a minimum label. </w:t>
      </w:r>
      <w:proofErr w:type="gramStart"/>
      <w:r w:rsidRPr="00A46DC3">
        <w:rPr>
          <w:rFonts w:ascii="Times New Roman" w:hAnsi="Times New Roman" w:cs="Times New Roman"/>
          <w:sz w:val="24"/>
          <w:szCs w:val="24"/>
        </w:rPr>
        <w:t>Thus</w:t>
      </w:r>
      <w:proofErr w:type="gramEnd"/>
      <w:r w:rsidRPr="00A46DC3">
        <w:rPr>
          <w:rFonts w:ascii="Times New Roman" w:hAnsi="Times New Roman" w:cs="Times New Roman"/>
          <w:sz w:val="24"/>
          <w:szCs w:val="24"/>
        </w:rPr>
        <w:t xml:space="preserve"> the banks record the non-recovered part as NPAs and have to make provision for it.</w:t>
      </w:r>
    </w:p>
    <w:p w14:paraId="7A28B3F8"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G. Change on government policy:</w:t>
      </w:r>
    </w:p>
    <w:p w14:paraId="068D1F2B"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Arrangements with each new government managing an account segment get new approaches for its operation. In this way it needs to adapt to the changing standards and arrangements for the control of the ascending of NPAs.</w:t>
      </w:r>
    </w:p>
    <w:p w14:paraId="6EF161A7" w14:textId="77777777" w:rsidR="00304918" w:rsidRPr="00A46DC3" w:rsidRDefault="00304918" w:rsidP="00304918">
      <w:pPr>
        <w:rPr>
          <w:rFonts w:ascii="Times New Roman" w:hAnsi="Times New Roman" w:cs="Times New Roman"/>
          <w:sz w:val="24"/>
          <w:szCs w:val="24"/>
        </w:rPr>
      </w:pPr>
    </w:p>
    <w:p w14:paraId="47392AE8" w14:textId="48EEA3C5" w:rsidR="00304918" w:rsidRPr="00A46DC3" w:rsidRDefault="00304918" w:rsidP="004B61FA">
      <w:pPr>
        <w:rPr>
          <w:rFonts w:ascii="Times New Roman" w:hAnsi="Times New Roman" w:cs="Times New Roman"/>
          <w:b/>
          <w:sz w:val="24"/>
          <w:szCs w:val="24"/>
        </w:rPr>
      </w:pPr>
      <w:r w:rsidRPr="00A46DC3">
        <w:rPr>
          <w:rFonts w:ascii="Times New Roman" w:hAnsi="Times New Roman" w:cs="Times New Roman"/>
          <w:b/>
          <w:sz w:val="24"/>
          <w:szCs w:val="24"/>
        </w:rPr>
        <w:t xml:space="preserve">INTERNAL </w:t>
      </w:r>
      <w:proofErr w:type="gramStart"/>
      <w:r w:rsidRPr="00A46DC3">
        <w:rPr>
          <w:rFonts w:ascii="Times New Roman" w:hAnsi="Times New Roman" w:cs="Times New Roman"/>
          <w:b/>
          <w:sz w:val="24"/>
          <w:szCs w:val="24"/>
        </w:rPr>
        <w:t>FACTORS</w:t>
      </w:r>
      <w:r w:rsidR="00C37FFD" w:rsidRPr="00A46DC3">
        <w:rPr>
          <w:rFonts w:ascii="Times New Roman" w:hAnsi="Times New Roman" w:cs="Times New Roman"/>
          <w:b/>
          <w:sz w:val="24"/>
          <w:szCs w:val="24"/>
        </w:rPr>
        <w:t>:-</w:t>
      </w:r>
      <w:proofErr w:type="gramEnd"/>
    </w:p>
    <w:p w14:paraId="772FDAA6"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A. Defective lending process:</w:t>
      </w:r>
    </w:p>
    <w:p w14:paraId="01E40061"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There are three cardinal principals of bank lending that have been followed by the commercial banks since long</w:t>
      </w:r>
    </w:p>
    <w:p w14:paraId="22EF3646"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1. Principle of safety</w:t>
      </w:r>
    </w:p>
    <w:p w14:paraId="4E01D547"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2. Principle of liquidity</w:t>
      </w:r>
    </w:p>
    <w:p w14:paraId="72ECEA08" w14:textId="355CF0EE"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3. Principle of profitability</w:t>
      </w:r>
    </w:p>
    <w:p w14:paraId="05DB23CE"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B. Inappropriate technology:</w:t>
      </w:r>
    </w:p>
    <w:p w14:paraId="6F815F1D" w14:textId="62A8D5C4"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 xml:space="preserve">Due to inappropriate technology and management information system, market driven decisions on real time basis cannot be taken. Proper MIS and financial accounting system </w:t>
      </w:r>
      <w:proofErr w:type="gramStart"/>
      <w:r w:rsidRPr="00A46DC3">
        <w:rPr>
          <w:rFonts w:ascii="Times New Roman" w:hAnsi="Times New Roman" w:cs="Times New Roman"/>
          <w:sz w:val="24"/>
          <w:szCs w:val="24"/>
        </w:rPr>
        <w:t>is</w:t>
      </w:r>
      <w:proofErr w:type="gramEnd"/>
      <w:r w:rsidRPr="00A46DC3">
        <w:rPr>
          <w:rFonts w:ascii="Times New Roman" w:hAnsi="Times New Roman" w:cs="Times New Roman"/>
          <w:sz w:val="24"/>
          <w:szCs w:val="24"/>
        </w:rPr>
        <w:t xml:space="preserve"> not implemented in the banks, which leads to poor credit collection, thus NPAS. All the branches of the bank should be computerized.</w:t>
      </w:r>
    </w:p>
    <w:p w14:paraId="512AC64F" w14:textId="1C4E90E0"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 xml:space="preserve">C. </w:t>
      </w:r>
      <w:r w:rsidR="004B61FA" w:rsidRPr="00A46DC3">
        <w:rPr>
          <w:rFonts w:ascii="Times New Roman" w:hAnsi="Times New Roman" w:cs="Times New Roman"/>
          <w:sz w:val="24"/>
          <w:szCs w:val="24"/>
        </w:rPr>
        <w:t>Dishonourable</w:t>
      </w:r>
      <w:r w:rsidRPr="00A46DC3">
        <w:rPr>
          <w:rFonts w:ascii="Times New Roman" w:hAnsi="Times New Roman" w:cs="Times New Roman"/>
          <w:sz w:val="24"/>
          <w:szCs w:val="24"/>
        </w:rPr>
        <w:t xml:space="preserve"> SWOT analysis:</w:t>
      </w:r>
    </w:p>
    <w:p w14:paraId="25113069" w14:textId="51AEA6A7"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The disgraceful quality, shortcoming, opportunity and risk investigation is another purpose behind ascend in NPAs. While giving unsecured advances the banks depends more on the genuineness, uprightness, and monitory soundness and credit value of the borrower. Banks ought to consider the borrowers on capital venture. It ought to gather credit data of the borrowers from</w:t>
      </w:r>
    </w:p>
    <w:p w14:paraId="1F7AFE31"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1. from financiers.</w:t>
      </w:r>
    </w:p>
    <w:p w14:paraId="4C7673AB"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2. Enquiry from business sector/ proportion of exchange, industry, business</w:t>
      </w:r>
    </w:p>
    <w:p w14:paraId="77F4A46E" w14:textId="1B991309"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3. From outside FICO score officers</w:t>
      </w:r>
    </w:p>
    <w:p w14:paraId="7F55170E" w14:textId="02F0C26C"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lastRenderedPageBreak/>
        <w:t xml:space="preserve">D. Poor credit </w:t>
      </w:r>
      <w:r w:rsidR="004B61FA" w:rsidRPr="00A46DC3">
        <w:rPr>
          <w:rFonts w:ascii="Times New Roman" w:hAnsi="Times New Roman" w:cs="Times New Roman"/>
          <w:sz w:val="24"/>
          <w:szCs w:val="24"/>
        </w:rPr>
        <w:t>appraisal</w:t>
      </w:r>
      <w:r w:rsidRPr="00A46DC3">
        <w:rPr>
          <w:rFonts w:ascii="Times New Roman" w:hAnsi="Times New Roman" w:cs="Times New Roman"/>
          <w:sz w:val="24"/>
          <w:szCs w:val="24"/>
        </w:rPr>
        <w:t xml:space="preserve"> system:</w:t>
      </w:r>
    </w:p>
    <w:p w14:paraId="0C0CB16E" w14:textId="10426C30" w:rsidR="004B61FA"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Poor credit appraisal is another factor for the rise in NPAs. Due to poor credit appraisal the bank gives advances to those who are not able to repay it back. They ought to utilize great credit evaluation to diminish the NPAS.</w:t>
      </w:r>
    </w:p>
    <w:p w14:paraId="2FCB78EA" w14:textId="06547245"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E. Absence of regular industrial visit:</w:t>
      </w:r>
    </w:p>
    <w:p w14:paraId="5A7A60BE" w14:textId="5C3C9A7B" w:rsidR="00304918" w:rsidRPr="00A46DC3" w:rsidRDefault="00304918" w:rsidP="002A01B7">
      <w:pPr>
        <w:rPr>
          <w:rFonts w:ascii="Times New Roman" w:hAnsi="Times New Roman" w:cs="Times New Roman"/>
          <w:sz w:val="24"/>
          <w:szCs w:val="24"/>
        </w:rPr>
      </w:pPr>
      <w:r w:rsidRPr="00A46DC3">
        <w:rPr>
          <w:rFonts w:ascii="Times New Roman" w:hAnsi="Times New Roman" w:cs="Times New Roman"/>
          <w:sz w:val="24"/>
          <w:szCs w:val="24"/>
        </w:rPr>
        <w:t>The irregularities in spot visit increases the NPAs Absence of regularly visit of bank officials to the customer point decreases the collection of interest and principals on the loans. The NPAs due to wilful defaulters can be collected by regular visits</w:t>
      </w:r>
    </w:p>
    <w:p w14:paraId="1EA57635" w14:textId="0D442311" w:rsidR="00304918" w:rsidRPr="00A46DC3" w:rsidRDefault="00304918" w:rsidP="00F46759">
      <w:pPr>
        <w:rPr>
          <w:rFonts w:ascii="Times New Roman" w:hAnsi="Times New Roman" w:cs="Times New Roman"/>
          <w:sz w:val="24"/>
          <w:szCs w:val="24"/>
        </w:rPr>
      </w:pPr>
      <w:r w:rsidRPr="00A46DC3">
        <w:rPr>
          <w:rFonts w:ascii="Times New Roman" w:hAnsi="Times New Roman" w:cs="Times New Roman"/>
          <w:sz w:val="24"/>
          <w:szCs w:val="24"/>
        </w:rPr>
        <w:t>F. Re-loaning process:</w:t>
      </w:r>
    </w:p>
    <w:p w14:paraId="4CB4A439" w14:textId="2F41303F" w:rsidR="00304918" w:rsidRPr="00A46DC3" w:rsidRDefault="00304918" w:rsidP="00304918">
      <w:pPr>
        <w:rPr>
          <w:rFonts w:ascii="Times New Roman" w:hAnsi="Times New Roman" w:cs="Times New Roman"/>
          <w:sz w:val="24"/>
          <w:szCs w:val="24"/>
        </w:rPr>
      </w:pPr>
      <w:proofErr w:type="gramStart"/>
      <w:r w:rsidRPr="00A46DC3">
        <w:rPr>
          <w:rFonts w:ascii="Times New Roman" w:hAnsi="Times New Roman" w:cs="Times New Roman"/>
          <w:sz w:val="24"/>
          <w:szCs w:val="24"/>
        </w:rPr>
        <w:t>Non remittance</w:t>
      </w:r>
      <w:proofErr w:type="gramEnd"/>
      <w:r w:rsidRPr="00A46DC3">
        <w:rPr>
          <w:rFonts w:ascii="Times New Roman" w:hAnsi="Times New Roman" w:cs="Times New Roman"/>
          <w:sz w:val="24"/>
          <w:szCs w:val="24"/>
        </w:rPr>
        <w:t xml:space="preserve"> of recoveries to higher financing agencies and re loaning of the same have already </w:t>
      </w:r>
      <w:r w:rsidR="004B61FA" w:rsidRPr="00A46DC3">
        <w:rPr>
          <w:rFonts w:ascii="Times New Roman" w:hAnsi="Times New Roman" w:cs="Times New Roman"/>
          <w:sz w:val="24"/>
          <w:szCs w:val="24"/>
        </w:rPr>
        <w:t>affected</w:t>
      </w:r>
      <w:r w:rsidRPr="00A46DC3">
        <w:rPr>
          <w:rFonts w:ascii="Times New Roman" w:hAnsi="Times New Roman" w:cs="Times New Roman"/>
          <w:sz w:val="24"/>
          <w:szCs w:val="24"/>
        </w:rPr>
        <w:t xml:space="preserve"> the smooth operation of the credit cycle.</w:t>
      </w:r>
    </w:p>
    <w:p w14:paraId="490CF7CC" w14:textId="77777777" w:rsidR="00304918" w:rsidRPr="00A46DC3" w:rsidRDefault="00304918" w:rsidP="00304918">
      <w:pPr>
        <w:rPr>
          <w:rFonts w:ascii="Times New Roman" w:hAnsi="Times New Roman" w:cs="Times New Roman"/>
          <w:sz w:val="24"/>
          <w:szCs w:val="24"/>
        </w:rPr>
      </w:pPr>
    </w:p>
    <w:p w14:paraId="118B25D4" w14:textId="77777777" w:rsidR="00304918" w:rsidRPr="00A46DC3" w:rsidRDefault="00304918" w:rsidP="00304918">
      <w:pPr>
        <w:rPr>
          <w:rFonts w:ascii="Times New Roman" w:hAnsi="Times New Roman" w:cs="Times New Roman"/>
          <w:b/>
          <w:sz w:val="24"/>
          <w:szCs w:val="24"/>
        </w:rPr>
      </w:pPr>
      <w:r w:rsidRPr="00A46DC3">
        <w:rPr>
          <w:rFonts w:ascii="Times New Roman" w:hAnsi="Times New Roman" w:cs="Times New Roman"/>
          <w:b/>
          <w:sz w:val="24"/>
          <w:szCs w:val="24"/>
        </w:rPr>
        <w:t>3.7 IMPACT OF NPAS</w:t>
      </w:r>
    </w:p>
    <w:p w14:paraId="2236EBE4" w14:textId="3C10E6CF"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 xml:space="preserve">The higher is the amount of non-performing assets (NPA) the weaker will be the bank's revenue </w:t>
      </w:r>
      <w:r w:rsidR="004B61FA" w:rsidRPr="00A46DC3">
        <w:rPr>
          <w:rFonts w:ascii="Times New Roman" w:hAnsi="Times New Roman" w:cs="Times New Roman"/>
          <w:sz w:val="24"/>
          <w:szCs w:val="24"/>
        </w:rPr>
        <w:t>stream; Indian</w:t>
      </w:r>
      <w:r w:rsidRPr="00A46DC3">
        <w:rPr>
          <w:rFonts w:ascii="Times New Roman" w:hAnsi="Times New Roman" w:cs="Times New Roman"/>
          <w:sz w:val="24"/>
          <w:szCs w:val="24"/>
        </w:rPr>
        <w:t xml:space="preserve"> Banking sector has been facing the NPA issue due to the mismanagement in the loan distribution carried by the </w:t>
      </w:r>
      <w:r w:rsidR="004B61FA" w:rsidRPr="00A46DC3">
        <w:rPr>
          <w:rFonts w:ascii="Times New Roman" w:hAnsi="Times New Roman" w:cs="Times New Roman"/>
          <w:sz w:val="24"/>
          <w:szCs w:val="24"/>
        </w:rPr>
        <w:t>public</w:t>
      </w:r>
      <w:r w:rsidRPr="00A46DC3">
        <w:rPr>
          <w:rFonts w:ascii="Times New Roman" w:hAnsi="Times New Roman" w:cs="Times New Roman"/>
          <w:sz w:val="24"/>
          <w:szCs w:val="24"/>
        </w:rPr>
        <w:t xml:space="preserve"> sector banks.</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As the NPAs of the banks will rise, it will bring a scarcity of funds in the Indian markets. Few banks will be willing to lend if they are not sure of the recovery of their money.</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The</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shareholders of the banks will lose of money as banks themselves will find it tough to survive in the market.</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This will lead to a crisis situation in the market.</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The</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price of loans, interest rates will shoot up badly. Shooting of interest rates will directly impact the investors who wish to take loans for setting up infrastructural. industrial projects etc.</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It</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will also impact the retail consumers, who will have to shell out a higher interest rate for a loan.</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All these factors hurt the overall demand in the Indian economy.</w:t>
      </w:r>
      <w:r w:rsidR="004B61FA" w:rsidRPr="00A46DC3">
        <w:rPr>
          <w:rFonts w:ascii="Times New Roman" w:hAnsi="Times New Roman" w:cs="Times New Roman"/>
          <w:sz w:val="24"/>
          <w:szCs w:val="24"/>
        </w:rPr>
        <w:t xml:space="preserve"> </w:t>
      </w:r>
      <w:r w:rsidRPr="00A46DC3">
        <w:rPr>
          <w:rFonts w:ascii="Times New Roman" w:hAnsi="Times New Roman" w:cs="Times New Roman"/>
          <w:sz w:val="24"/>
          <w:szCs w:val="24"/>
        </w:rPr>
        <w:t>Finally, it will lead to lower growth and higher inflation because of the higher cost of capital.</w:t>
      </w:r>
    </w:p>
    <w:p w14:paraId="3123234E" w14:textId="77777777" w:rsidR="00304918" w:rsidRPr="00A46DC3" w:rsidRDefault="00304918" w:rsidP="00304918">
      <w:pPr>
        <w:rPr>
          <w:rFonts w:ascii="Times New Roman" w:hAnsi="Times New Roman" w:cs="Times New Roman"/>
          <w:sz w:val="24"/>
          <w:szCs w:val="24"/>
        </w:rPr>
      </w:pPr>
    </w:p>
    <w:p w14:paraId="39F58C60" w14:textId="20F42507" w:rsidR="00304918" w:rsidRPr="00A46DC3" w:rsidRDefault="00304918" w:rsidP="00C37FFD">
      <w:pPr>
        <w:rPr>
          <w:rFonts w:ascii="Times New Roman" w:hAnsi="Times New Roman" w:cs="Times New Roman"/>
          <w:b/>
          <w:sz w:val="24"/>
          <w:szCs w:val="24"/>
        </w:rPr>
      </w:pPr>
      <w:r w:rsidRPr="00A46DC3">
        <w:rPr>
          <w:rFonts w:ascii="Times New Roman" w:hAnsi="Times New Roman" w:cs="Times New Roman"/>
          <w:b/>
          <w:sz w:val="24"/>
          <w:szCs w:val="24"/>
        </w:rPr>
        <w:t>3.8 RECOVERY MEASURES OF NPA</w:t>
      </w:r>
    </w:p>
    <w:p w14:paraId="1C1703A9"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1. SARFAESI Act</w:t>
      </w:r>
    </w:p>
    <w:p w14:paraId="6974D447" w14:textId="41E449D5" w:rsidR="00304918" w:rsidRPr="00A46DC3" w:rsidRDefault="00304918" w:rsidP="00C37FFD">
      <w:pPr>
        <w:rPr>
          <w:rFonts w:ascii="Times New Roman" w:hAnsi="Times New Roman" w:cs="Times New Roman"/>
          <w:sz w:val="24"/>
          <w:szCs w:val="24"/>
        </w:rPr>
      </w:pPr>
      <w:r w:rsidRPr="00A46DC3">
        <w:rPr>
          <w:rFonts w:ascii="Times New Roman" w:hAnsi="Times New Roman" w:cs="Times New Roman"/>
          <w:sz w:val="24"/>
          <w:szCs w:val="24"/>
        </w:rPr>
        <w:t>The Securitisation and Reconstruction of Financial Assets and Enforcement of Securities Interest Act, 2002 (also known as the SARFAESI Act) is an Indian law. It allows banks and other financial institution to auction residential or commercial properties to recover loans. The first asset reconstruction company (ARC) of India. ARCIL, was set up under this act.</w:t>
      </w:r>
    </w:p>
    <w:p w14:paraId="309DF8DC" w14:textId="23797F21" w:rsidR="002A01B7" w:rsidRPr="00A46DC3" w:rsidRDefault="00304918" w:rsidP="00841969">
      <w:pPr>
        <w:rPr>
          <w:rFonts w:ascii="Times New Roman" w:hAnsi="Times New Roman" w:cs="Times New Roman"/>
          <w:sz w:val="24"/>
          <w:szCs w:val="24"/>
        </w:rPr>
      </w:pPr>
      <w:r w:rsidRPr="00A46DC3">
        <w:rPr>
          <w:rFonts w:ascii="Times New Roman" w:hAnsi="Times New Roman" w:cs="Times New Roman"/>
          <w:sz w:val="24"/>
          <w:szCs w:val="24"/>
        </w:rPr>
        <w:t xml:space="preserve">Under this act secured </w:t>
      </w:r>
      <w:r w:rsidR="00F46759" w:rsidRPr="00A46DC3">
        <w:rPr>
          <w:rFonts w:ascii="Times New Roman" w:hAnsi="Times New Roman" w:cs="Times New Roman"/>
          <w:sz w:val="24"/>
          <w:szCs w:val="24"/>
        </w:rPr>
        <w:t>creditors</w:t>
      </w:r>
      <w:r w:rsidRPr="00A46DC3">
        <w:rPr>
          <w:rFonts w:ascii="Times New Roman" w:hAnsi="Times New Roman" w:cs="Times New Roman"/>
          <w:sz w:val="24"/>
          <w:szCs w:val="24"/>
        </w:rPr>
        <w:t xml:space="preserve"> (banks or financial institutions) have many </w:t>
      </w:r>
      <w:proofErr w:type="gramStart"/>
      <w:r w:rsidRPr="00A46DC3">
        <w:rPr>
          <w:rFonts w:ascii="Times New Roman" w:hAnsi="Times New Roman" w:cs="Times New Roman"/>
          <w:sz w:val="24"/>
          <w:szCs w:val="24"/>
        </w:rPr>
        <w:t>right</w:t>
      </w:r>
      <w:proofErr w:type="gramEnd"/>
      <w:r w:rsidRPr="00A46DC3">
        <w:rPr>
          <w:rFonts w:ascii="Times New Roman" w:hAnsi="Times New Roman" w:cs="Times New Roman"/>
          <w:sz w:val="24"/>
          <w:szCs w:val="24"/>
        </w:rPr>
        <w:t xml:space="preserve"> for enforcement of secured interest under section 13 of SARFAESI Act, 2002. If borrower of financial assistance makes any default in repayment of loan or any instalment and his account is classified as Non-Performing Asset (NPA) by secured creditor, then secured creditor may require before expiry of period of limitation by written notice to the borrower for repayment of due in full within 60 days by clearly stating amount due und intention for enforcement. Where he does not discharge dues in full within 60 days, </w:t>
      </w:r>
      <w:r w:rsidR="00F46759" w:rsidRPr="00A46DC3">
        <w:rPr>
          <w:rFonts w:ascii="Times New Roman" w:hAnsi="Times New Roman" w:cs="Times New Roman"/>
          <w:sz w:val="24"/>
          <w:szCs w:val="24"/>
        </w:rPr>
        <w:t>then without</w:t>
      </w:r>
      <w:r w:rsidRPr="00A46DC3">
        <w:rPr>
          <w:rFonts w:ascii="Times New Roman" w:hAnsi="Times New Roman" w:cs="Times New Roman"/>
          <w:sz w:val="24"/>
          <w:szCs w:val="24"/>
        </w:rPr>
        <w:t xml:space="preserve"> </w:t>
      </w:r>
      <w:r w:rsidR="00F46759" w:rsidRPr="00A46DC3">
        <w:rPr>
          <w:rFonts w:ascii="Times New Roman" w:hAnsi="Times New Roman" w:cs="Times New Roman"/>
          <w:sz w:val="24"/>
          <w:szCs w:val="24"/>
        </w:rPr>
        <w:t xml:space="preserve">intervention of any </w:t>
      </w:r>
      <w:r w:rsidR="00F46759" w:rsidRPr="00A46DC3">
        <w:rPr>
          <w:rFonts w:ascii="Times New Roman" w:hAnsi="Times New Roman" w:cs="Times New Roman"/>
          <w:sz w:val="24"/>
          <w:szCs w:val="24"/>
        </w:rPr>
        <w:lastRenderedPageBreak/>
        <w:t>court or tribunal</w:t>
      </w:r>
      <w:r w:rsidRPr="00A46DC3">
        <w:rPr>
          <w:rFonts w:ascii="Times New Roman" w:hAnsi="Times New Roman" w:cs="Times New Roman"/>
          <w:sz w:val="24"/>
          <w:szCs w:val="24"/>
        </w:rPr>
        <w:t xml:space="preserve"> </w:t>
      </w:r>
      <w:r w:rsidR="00F46759" w:rsidRPr="00A46DC3">
        <w:rPr>
          <w:rFonts w:ascii="Times New Roman" w:hAnsi="Times New Roman" w:cs="Times New Roman"/>
          <w:sz w:val="24"/>
          <w:szCs w:val="24"/>
        </w:rPr>
        <w:t>s</w:t>
      </w:r>
      <w:r w:rsidRPr="00A46DC3">
        <w:rPr>
          <w:rFonts w:ascii="Times New Roman" w:hAnsi="Times New Roman" w:cs="Times New Roman"/>
          <w:sz w:val="24"/>
          <w:szCs w:val="24"/>
        </w:rPr>
        <w:t xml:space="preserve">ecured creditor may take possession (including sale, lease, assignment) of secured asset, or take over management of business of borrower or appoint manager for secured asset or without taking any of </w:t>
      </w:r>
      <w:proofErr w:type="gramStart"/>
      <w:r w:rsidRPr="00A46DC3">
        <w:rPr>
          <w:rFonts w:ascii="Times New Roman" w:hAnsi="Times New Roman" w:cs="Times New Roman"/>
          <w:sz w:val="24"/>
          <w:szCs w:val="24"/>
        </w:rPr>
        <w:t>these action</w:t>
      </w:r>
      <w:proofErr w:type="gramEnd"/>
      <w:r w:rsidRPr="00A46DC3">
        <w:rPr>
          <w:rFonts w:ascii="Times New Roman" w:hAnsi="Times New Roman" w:cs="Times New Roman"/>
          <w:sz w:val="24"/>
          <w:szCs w:val="24"/>
        </w:rPr>
        <w:t xml:space="preserve"> may also proceed against guarantor or sell the pledged asset, if any.</w:t>
      </w:r>
    </w:p>
    <w:p w14:paraId="2006C9B7"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2. Preference of Claims</w:t>
      </w:r>
    </w:p>
    <w:p w14:paraId="0EC0DE07" w14:textId="5B4D8AF3" w:rsidR="00304918" w:rsidRPr="00A46DC3" w:rsidRDefault="00304918" w:rsidP="00841969">
      <w:pPr>
        <w:rPr>
          <w:rFonts w:ascii="Times New Roman" w:hAnsi="Times New Roman" w:cs="Times New Roman"/>
          <w:sz w:val="24"/>
          <w:szCs w:val="24"/>
        </w:rPr>
      </w:pPr>
      <w:r w:rsidRPr="00A46DC3">
        <w:rPr>
          <w:rFonts w:ascii="Times New Roman" w:hAnsi="Times New Roman" w:cs="Times New Roman"/>
          <w:sz w:val="24"/>
          <w:szCs w:val="24"/>
        </w:rPr>
        <w:t xml:space="preserve">Banks should expeditiously and properly claim indemnity from organizations like Deposit Insurance and Credit Guarantee Corporation called DICGC, Export Cred Guarantee Corporation called ECGC, Credit Guarantee Fund Trust for small </w:t>
      </w:r>
      <w:r w:rsidR="00F46759" w:rsidRPr="00A46DC3">
        <w:rPr>
          <w:rFonts w:ascii="Times New Roman" w:hAnsi="Times New Roman" w:cs="Times New Roman"/>
          <w:sz w:val="24"/>
          <w:szCs w:val="24"/>
        </w:rPr>
        <w:t>scale</w:t>
      </w:r>
      <w:r w:rsidRPr="00A46DC3">
        <w:rPr>
          <w:rFonts w:ascii="Times New Roman" w:hAnsi="Times New Roman" w:cs="Times New Roman"/>
          <w:sz w:val="24"/>
          <w:szCs w:val="24"/>
        </w:rPr>
        <w:t xml:space="preserve"> Industries, Insurance Companies etc. and invoke Government/other personal guarantees to recover loan dues and reduce non-performing assets.</w:t>
      </w:r>
    </w:p>
    <w:p w14:paraId="18127A54"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3. Compromise Proposal</w:t>
      </w:r>
    </w:p>
    <w:p w14:paraId="44DD702B" w14:textId="2E48779A" w:rsidR="00304918" w:rsidRPr="00A46DC3" w:rsidRDefault="00304918" w:rsidP="00841969">
      <w:pPr>
        <w:rPr>
          <w:rFonts w:ascii="Times New Roman" w:hAnsi="Times New Roman" w:cs="Times New Roman"/>
          <w:sz w:val="24"/>
          <w:szCs w:val="24"/>
        </w:rPr>
      </w:pPr>
      <w:r w:rsidRPr="00A46DC3">
        <w:rPr>
          <w:rFonts w:ascii="Times New Roman" w:hAnsi="Times New Roman" w:cs="Times New Roman"/>
          <w:sz w:val="24"/>
          <w:szCs w:val="24"/>
        </w:rPr>
        <w:t>Compromise routes are adopted by banks, where borrowers experience certain genuine difficulties and where normal recovery is not possible. It involves certain sacrifices on the part of the banks on the principle of "one bird at hand is worth two in the bush Such proposals can be taken up considering the history of the borrowable account, security available, net worth of the borrower/guarantor, time value of offer made etc.</w:t>
      </w:r>
    </w:p>
    <w:p w14:paraId="7E2508A5"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4. Technical Write Off</w:t>
      </w:r>
    </w:p>
    <w:p w14:paraId="69F6E76D" w14:textId="32DBAE6B" w:rsidR="00304918" w:rsidRPr="00A46DC3" w:rsidRDefault="00304918" w:rsidP="00841969">
      <w:pPr>
        <w:rPr>
          <w:rFonts w:ascii="Times New Roman" w:hAnsi="Times New Roman" w:cs="Times New Roman"/>
          <w:sz w:val="24"/>
          <w:szCs w:val="24"/>
        </w:rPr>
      </w:pPr>
      <w:r w:rsidRPr="00A46DC3">
        <w:rPr>
          <w:rFonts w:ascii="Times New Roman" w:hAnsi="Times New Roman" w:cs="Times New Roman"/>
          <w:sz w:val="24"/>
          <w:szCs w:val="24"/>
        </w:rPr>
        <w:t>Normally banks decide writing off small loans which have become bad and the recovery is not at all possible in those accounts under any circumstances on account of the facts that the borrower might have been expired, he has no means to repay the loan at any cost and there may be huge losses in respect of the properties etc. This is for the sole purpose of servicing such non</w:t>
      </w:r>
      <w:r w:rsidR="00F46759" w:rsidRPr="00A46DC3">
        <w:rPr>
          <w:rFonts w:ascii="Times New Roman" w:hAnsi="Times New Roman" w:cs="Times New Roman"/>
          <w:sz w:val="24"/>
          <w:szCs w:val="24"/>
        </w:rPr>
        <w:t>-</w:t>
      </w:r>
      <w:r w:rsidRPr="00A46DC3">
        <w:rPr>
          <w:rFonts w:ascii="Times New Roman" w:hAnsi="Times New Roman" w:cs="Times New Roman"/>
          <w:sz w:val="24"/>
          <w:szCs w:val="24"/>
        </w:rPr>
        <w:t>performing accounts.</w:t>
      </w:r>
    </w:p>
    <w:p w14:paraId="40193869" w14:textId="77777777" w:rsidR="00304918" w:rsidRPr="00A46DC3" w:rsidRDefault="00304918" w:rsidP="00304918">
      <w:pPr>
        <w:rPr>
          <w:rFonts w:ascii="Times New Roman" w:hAnsi="Times New Roman" w:cs="Times New Roman"/>
          <w:sz w:val="24"/>
          <w:szCs w:val="24"/>
        </w:rPr>
      </w:pPr>
      <w:r w:rsidRPr="00A46DC3">
        <w:rPr>
          <w:rFonts w:ascii="Times New Roman" w:hAnsi="Times New Roman" w:cs="Times New Roman"/>
          <w:sz w:val="24"/>
          <w:szCs w:val="24"/>
        </w:rPr>
        <w:t>5. One Time Settlement Scheme</w:t>
      </w:r>
    </w:p>
    <w:p w14:paraId="0D7B9C08" w14:textId="060D8E8B" w:rsidR="000624A6" w:rsidRPr="00A46DC3" w:rsidRDefault="00304918" w:rsidP="00304918">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To reduce the absolute amount of non-performing assets. Government of India along with Reserve Bank of India are announcing </w:t>
      </w:r>
      <w:proofErr w:type="gramStart"/>
      <w:r w:rsidRPr="00A46DC3">
        <w:rPr>
          <w:rFonts w:ascii="Times New Roman" w:hAnsi="Times New Roman" w:cs="Times New Roman"/>
          <w:sz w:val="24"/>
          <w:szCs w:val="24"/>
        </w:rPr>
        <w:t>one time</w:t>
      </w:r>
      <w:proofErr w:type="gramEnd"/>
      <w:r w:rsidRPr="00A46DC3">
        <w:rPr>
          <w:rFonts w:ascii="Times New Roman" w:hAnsi="Times New Roman" w:cs="Times New Roman"/>
          <w:sz w:val="24"/>
          <w:szCs w:val="24"/>
        </w:rPr>
        <w:t xml:space="preserve"> settlement schemes periodically for the past few years. When the borrowers are alive and when the borrowers are farmers, small entrepreneurs et</w:t>
      </w:r>
      <w:r w:rsidR="00F46759" w:rsidRPr="00A46DC3">
        <w:rPr>
          <w:rFonts w:ascii="Times New Roman" w:hAnsi="Times New Roman" w:cs="Times New Roman"/>
          <w:sz w:val="24"/>
          <w:szCs w:val="24"/>
        </w:rPr>
        <w:t>c</w:t>
      </w:r>
      <w:r w:rsidRPr="00A46DC3">
        <w:rPr>
          <w:rFonts w:ascii="Times New Roman" w:hAnsi="Times New Roman" w:cs="Times New Roman"/>
          <w:sz w:val="24"/>
          <w:szCs w:val="24"/>
        </w:rPr>
        <w:t xml:space="preserve">, and they find it very difficult to pay their dues for various reasons like bad health and fall in their business ventures, however, they have the inclination to repay their debts to the banks, this type of practice is very much helpful to the borrowers and the lending institutions. Surely the banks are in a position to lose certain portion of their loan amount when they are conducting </w:t>
      </w:r>
      <w:proofErr w:type="gramStart"/>
      <w:r w:rsidRPr="00A46DC3">
        <w:rPr>
          <w:rFonts w:ascii="Times New Roman" w:hAnsi="Times New Roman" w:cs="Times New Roman"/>
          <w:sz w:val="24"/>
          <w:szCs w:val="24"/>
        </w:rPr>
        <w:t>one time</w:t>
      </w:r>
      <w:proofErr w:type="gramEnd"/>
      <w:r w:rsidRPr="00A46DC3">
        <w:rPr>
          <w:rFonts w:ascii="Times New Roman" w:hAnsi="Times New Roman" w:cs="Times New Roman"/>
          <w:sz w:val="24"/>
          <w:szCs w:val="24"/>
        </w:rPr>
        <w:t xml:space="preserve"> settlement scheme</w:t>
      </w:r>
      <w:r w:rsidR="00C37FFD" w:rsidRPr="00A46DC3">
        <w:rPr>
          <w:rFonts w:ascii="Times New Roman" w:hAnsi="Times New Roman" w:cs="Times New Roman"/>
          <w:sz w:val="24"/>
          <w:szCs w:val="24"/>
        </w:rPr>
        <w:t>.</w:t>
      </w:r>
    </w:p>
    <w:p w14:paraId="2340FE03" w14:textId="19E7080C" w:rsidR="00C37FFD" w:rsidRPr="00A46DC3" w:rsidRDefault="00C37FFD" w:rsidP="00304918">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3.9. COMPANY PROFILE</w:t>
      </w:r>
      <w:r w:rsidR="00DB1E30" w:rsidRPr="00A46DC3">
        <w:rPr>
          <w:rFonts w:ascii="Times New Roman" w:hAnsi="Times New Roman" w:cs="Times New Roman"/>
          <w:b/>
          <w:bCs/>
          <w:sz w:val="24"/>
          <w:szCs w:val="24"/>
        </w:rPr>
        <w:t xml:space="preserve"> – FEDERAL BANK</w:t>
      </w:r>
    </w:p>
    <w:p w14:paraId="5A9EB159" w14:textId="7B825666" w:rsidR="00900853" w:rsidRPr="00A46DC3" w:rsidRDefault="00900853" w:rsidP="00841969">
      <w:pPr>
        <w:rPr>
          <w:rFonts w:ascii="Times New Roman" w:hAnsi="Times New Roman" w:cs="Times New Roman"/>
          <w:sz w:val="24"/>
          <w:szCs w:val="24"/>
        </w:rPr>
      </w:pPr>
      <w:r w:rsidRPr="00A46DC3">
        <w:rPr>
          <w:rFonts w:ascii="Times New Roman" w:hAnsi="Times New Roman" w:cs="Times New Roman"/>
          <w:sz w:val="24"/>
          <w:szCs w:val="24"/>
        </w:rPr>
        <w:t xml:space="preserve">The Federal Bank Limited is a major private sector commercial bank headquartered at Aluva, Kochi, Kerala. As on 31 March 2016. Federal Bank has 1252 branches and 1680 ATMs across the country. A bank is a financial institution that accepts deposits from the public and creates credit. Lending activities can be performed either directly or indirectly through capital markets. Due to their importance in the financial stability of a country, banks are highly regulated in most countries. Most nations have institutionalized a system known as fractional reserve banking under which banks hold liquid assets equal to only a portion of their current liabilities. In addition to other regulations intended to ensure liquidity. banks are generally subject to minimum capital requirements based on an international set of capital standards, </w:t>
      </w:r>
      <w:r w:rsidRPr="00A46DC3">
        <w:rPr>
          <w:rFonts w:ascii="Times New Roman" w:hAnsi="Times New Roman" w:cs="Times New Roman"/>
          <w:sz w:val="24"/>
          <w:szCs w:val="24"/>
        </w:rPr>
        <w:lastRenderedPageBreak/>
        <w:t>known as the Basel Accords. Banking in its modern sense evolved in the 14th century in the prosperous cities of Renaissance Italy but in many ways was a continuation of ideas and concepts of credit and lending that had their roots in the ancient world. In the history of banking, a number of banking dynasties notably, the Medicis, the Fuggers, the Welsers, the Berenbergs and the Rothschilds-have played a central role over many centuries. The oldest existing retail bank is Banca Monte dei Paschi di Siena, while the oldest existing merchant bank is Berenberg Bank.</w:t>
      </w:r>
    </w:p>
    <w:p w14:paraId="36C8BDF7" w14:textId="4EC8A9F2" w:rsidR="00900853" w:rsidRPr="00A46DC3" w:rsidRDefault="002A01B7" w:rsidP="002A01B7">
      <w:pPr>
        <w:rPr>
          <w:rFonts w:ascii="Times New Roman" w:hAnsi="Times New Roman" w:cs="Times New Roman"/>
          <w:b/>
          <w:bCs/>
          <w:sz w:val="24"/>
          <w:szCs w:val="24"/>
        </w:rPr>
      </w:pPr>
      <w:r w:rsidRPr="00A46DC3">
        <w:rPr>
          <w:rFonts w:ascii="Times New Roman" w:hAnsi="Times New Roman" w:cs="Times New Roman"/>
          <w:b/>
          <w:bCs/>
          <w:sz w:val="24"/>
          <w:szCs w:val="24"/>
        </w:rPr>
        <w:t>HISTORY:</w:t>
      </w:r>
    </w:p>
    <w:p w14:paraId="1C0E2DE8" w14:textId="3FAAABC4" w:rsidR="00900853" w:rsidRPr="00A46DC3" w:rsidRDefault="00900853" w:rsidP="00841969">
      <w:pPr>
        <w:rPr>
          <w:rFonts w:ascii="Times New Roman" w:hAnsi="Times New Roman" w:cs="Times New Roman"/>
          <w:sz w:val="24"/>
          <w:szCs w:val="24"/>
        </w:rPr>
      </w:pPr>
      <w:r w:rsidRPr="00A46DC3">
        <w:rPr>
          <w:rFonts w:ascii="Times New Roman" w:hAnsi="Times New Roman" w:cs="Times New Roman"/>
          <w:sz w:val="24"/>
          <w:szCs w:val="24"/>
        </w:rPr>
        <w:t>The history of Federal Bank dates back to the pre-independence era. On 7th April 1931 at Pattamukki Varattasseril Tharavad, the Pattamukki Varattisseril Brothers gathered to discuss the necessary steps to be taken to form a bank. The Federal Bank Limited (the erstwhile Travancore Federal Bank Limited) was incorporated with an authorized capital of ₹5000 from Pattamukkil Varattisseril Brother's at Pattamukkil Varattisseril Ancestral Home, Nedumpuram a place near Thiruvalla in Central Travancore on 24th April 1931 under the Travancore Company's Act. 1916. It started with the business of auction-chitty and elementary banking transactions related to agriculture and industry. The home functioned as the bank office for nearly 15 years.</w:t>
      </w:r>
    </w:p>
    <w:p w14:paraId="181BF7C6" w14:textId="5D88B228" w:rsidR="00900853" w:rsidRPr="00A46DC3" w:rsidRDefault="00900853" w:rsidP="00841969">
      <w:pPr>
        <w:rPr>
          <w:rFonts w:ascii="Times New Roman" w:hAnsi="Times New Roman" w:cs="Times New Roman"/>
          <w:sz w:val="24"/>
          <w:szCs w:val="24"/>
        </w:rPr>
      </w:pPr>
      <w:r w:rsidRPr="00A46DC3">
        <w:rPr>
          <w:rFonts w:ascii="Times New Roman" w:hAnsi="Times New Roman" w:cs="Times New Roman"/>
          <w:sz w:val="24"/>
          <w:szCs w:val="24"/>
        </w:rPr>
        <w:t>The founders included Pattamukkil Varattisseril Commen Geevarghese, and his brothers Oommen Chacko. Oommen Kurian, and Oommen George. Oomumen Geevarghese was the founder chairman and Oommen Chacko was the managing director. The Travancore Agriculturists' Relief Act. 1939, and the limitation of interest by the Travancore Debt Relief Act, 1941 greatly influenced the smooth functioning of bank. The terms and conditions of this particular act was supportive to the farmers and it was totally against the interest of the banks and auction-chitty operators of that time. After the bank had functioned for nearly 15 years, the bank's day-to-day operations had to be stopped due to Oommen Chacko's ill-health.</w:t>
      </w:r>
    </w:p>
    <w:p w14:paraId="1FE519B7" w14:textId="27D4D6EF" w:rsidR="00900853" w:rsidRPr="00A46DC3" w:rsidRDefault="00900853" w:rsidP="00841969">
      <w:pPr>
        <w:rPr>
          <w:rFonts w:ascii="Times New Roman" w:hAnsi="Times New Roman" w:cs="Times New Roman"/>
          <w:sz w:val="24"/>
          <w:szCs w:val="24"/>
        </w:rPr>
      </w:pPr>
      <w:r w:rsidRPr="00A46DC3">
        <w:rPr>
          <w:rFonts w:ascii="Times New Roman" w:hAnsi="Times New Roman" w:cs="Times New Roman"/>
          <w:sz w:val="24"/>
          <w:szCs w:val="24"/>
        </w:rPr>
        <w:t>A lawyer from Perumbavoor named Kulangara Paulo Hormis (K.P Hormis), and his acquaintances, bought the shares and took over the management on 30th December 1944 and till 18th May 1945 Travancore Federal Bank Limited functioned at Nedumpuram under his chairmanship.</w:t>
      </w:r>
    </w:p>
    <w:p w14:paraId="33183CC0" w14:textId="148151BC" w:rsidR="00900853" w:rsidRPr="00A46DC3" w:rsidRDefault="00900853" w:rsidP="00900853">
      <w:pPr>
        <w:rPr>
          <w:rFonts w:ascii="Times New Roman" w:hAnsi="Times New Roman" w:cs="Times New Roman"/>
          <w:sz w:val="24"/>
          <w:szCs w:val="24"/>
        </w:rPr>
      </w:pPr>
      <w:r w:rsidRPr="00A46DC3">
        <w:rPr>
          <w:rFonts w:ascii="Times New Roman" w:hAnsi="Times New Roman" w:cs="Times New Roman"/>
          <w:sz w:val="24"/>
          <w:szCs w:val="24"/>
        </w:rPr>
        <w:t>The bank was named Federal Bank Limited on 2 December 1949, after completing the formalities of Banking Regulation Act, 1949 Between 1963 and 1970, Federal Bank took over Chalakudy Public Bank (est. 20 July 1929 in Chalakudy), Cochin Union Bank (est. 1963) in Trichur, Alleppey Bank (Est 1964: Alappuzha), St. George Union Bank (est. 1965) in Puthenpally, and Marthandam Commercial Bank (est. 1968) in Thiruvananthapuram. In 1970. Federal Bank became a scheduled commercial bank and came out with its initial public offering in 1994.In January 2008. Federal Bank opened its first overseas representative office in Abu Dhabi. In April 2015, Federal Bank posted its highest ever net profit at 1005.75 crores for the fiscal 2014-15. The net profit grew 20% during the year, which saw the deposits and advances of the bank outgrow that of the industry by 40%. In November 2016, Federal Bank opened its second UAE representative office in Dubai as part of a strategy to expand footprints in the Persian Gulf region to serve its fast-growing overseas clients.</w:t>
      </w:r>
    </w:p>
    <w:p w14:paraId="6D6D49D6" w14:textId="05492835" w:rsidR="00E719B0" w:rsidRPr="00A46DC3" w:rsidRDefault="00E719B0" w:rsidP="00E719B0">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3.10. COMPANY PROFILE – STATE BANK OF INDIA</w:t>
      </w:r>
    </w:p>
    <w:p w14:paraId="42122F05" w14:textId="63B85F23" w:rsidR="006F4AF6" w:rsidRPr="00A46DC3" w:rsidRDefault="006F4AF6" w:rsidP="006F4AF6">
      <w:pPr>
        <w:tabs>
          <w:tab w:val="left" w:pos="5304"/>
        </w:tabs>
        <w:rPr>
          <w:rFonts w:ascii="Times New Roman" w:hAnsi="Times New Roman" w:cs="Times New Roman"/>
          <w:sz w:val="24"/>
          <w:szCs w:val="24"/>
        </w:rPr>
      </w:pPr>
      <w:r w:rsidRPr="00A46DC3">
        <w:rPr>
          <w:rFonts w:ascii="Times New Roman" w:hAnsi="Times New Roman" w:cs="Times New Roman"/>
          <w:sz w:val="24"/>
          <w:szCs w:val="24"/>
        </w:rPr>
        <w:lastRenderedPageBreak/>
        <w:t>State Bank of India (SBI) is an Indian </w:t>
      </w:r>
      <w:hyperlink r:id="rId9" w:tooltip="Multinational corporation" w:history="1">
        <w:r w:rsidRPr="00A46DC3">
          <w:rPr>
            <w:rStyle w:val="Hyperlink"/>
            <w:rFonts w:ascii="Times New Roman" w:hAnsi="Times New Roman" w:cs="Times New Roman"/>
            <w:color w:val="auto"/>
            <w:sz w:val="24"/>
            <w:szCs w:val="24"/>
            <w:u w:val="none"/>
          </w:rPr>
          <w:t>multinational</w:t>
        </w:r>
      </w:hyperlink>
      <w:r w:rsidRPr="00A46DC3">
        <w:rPr>
          <w:rFonts w:ascii="Times New Roman" w:hAnsi="Times New Roman" w:cs="Times New Roman"/>
          <w:sz w:val="24"/>
          <w:szCs w:val="24"/>
        </w:rPr>
        <w:t> </w:t>
      </w:r>
      <w:hyperlink r:id="rId10" w:tooltip="Public sector undertakings in India" w:history="1">
        <w:r w:rsidRPr="00A46DC3">
          <w:rPr>
            <w:rStyle w:val="Hyperlink"/>
            <w:rFonts w:ascii="Times New Roman" w:hAnsi="Times New Roman" w:cs="Times New Roman"/>
            <w:color w:val="auto"/>
            <w:sz w:val="24"/>
            <w:szCs w:val="24"/>
            <w:u w:val="none"/>
          </w:rPr>
          <w:t>public sector</w:t>
        </w:r>
      </w:hyperlink>
      <w:r w:rsidRPr="00A46DC3">
        <w:rPr>
          <w:rFonts w:ascii="Times New Roman" w:hAnsi="Times New Roman" w:cs="Times New Roman"/>
          <w:sz w:val="24"/>
          <w:szCs w:val="24"/>
        </w:rPr>
        <w:t> </w:t>
      </w:r>
      <w:hyperlink r:id="rId11" w:tooltip="Bank" w:history="1">
        <w:r w:rsidRPr="00A46DC3">
          <w:rPr>
            <w:rStyle w:val="Hyperlink"/>
            <w:rFonts w:ascii="Times New Roman" w:hAnsi="Times New Roman" w:cs="Times New Roman"/>
            <w:color w:val="auto"/>
            <w:sz w:val="24"/>
            <w:szCs w:val="24"/>
            <w:u w:val="none"/>
          </w:rPr>
          <w:t>bank</w:t>
        </w:r>
      </w:hyperlink>
      <w:r w:rsidRPr="00A46DC3">
        <w:rPr>
          <w:rFonts w:ascii="Times New Roman" w:hAnsi="Times New Roman" w:cs="Times New Roman"/>
          <w:sz w:val="24"/>
          <w:szCs w:val="24"/>
        </w:rPr>
        <w:t> and </w:t>
      </w:r>
      <w:hyperlink r:id="rId12" w:tooltip="Financial service" w:history="1">
        <w:r w:rsidRPr="00A46DC3">
          <w:rPr>
            <w:rStyle w:val="Hyperlink"/>
            <w:rFonts w:ascii="Times New Roman" w:hAnsi="Times New Roman" w:cs="Times New Roman"/>
            <w:color w:val="auto"/>
            <w:sz w:val="24"/>
            <w:szCs w:val="24"/>
            <w:u w:val="none"/>
          </w:rPr>
          <w:t>financial services</w:t>
        </w:r>
      </w:hyperlink>
      <w:r w:rsidRPr="00A46DC3">
        <w:rPr>
          <w:rFonts w:ascii="Times New Roman" w:hAnsi="Times New Roman" w:cs="Times New Roman"/>
          <w:sz w:val="24"/>
          <w:szCs w:val="24"/>
        </w:rPr>
        <w:t> statutory body headquartered in </w:t>
      </w:r>
      <w:hyperlink r:id="rId13" w:tooltip="Mumbai" w:history="1">
        <w:r w:rsidRPr="00A46DC3">
          <w:rPr>
            <w:rStyle w:val="Hyperlink"/>
            <w:rFonts w:ascii="Times New Roman" w:hAnsi="Times New Roman" w:cs="Times New Roman"/>
            <w:color w:val="auto"/>
            <w:sz w:val="24"/>
            <w:szCs w:val="24"/>
            <w:u w:val="none"/>
          </w:rPr>
          <w:t>Mumbai</w:t>
        </w:r>
      </w:hyperlink>
      <w:r w:rsidRPr="00A46DC3">
        <w:rPr>
          <w:rFonts w:ascii="Times New Roman" w:hAnsi="Times New Roman" w:cs="Times New Roman"/>
          <w:sz w:val="24"/>
          <w:szCs w:val="24"/>
        </w:rPr>
        <w:t>. It is the largest bank in India</w:t>
      </w:r>
      <w:r w:rsidRPr="00A46DC3">
        <w:rPr>
          <w:rFonts w:ascii="Times New Roman" w:hAnsi="Times New Roman" w:cs="Times New Roman"/>
          <w:sz w:val="24"/>
          <w:szCs w:val="24"/>
          <w:vertAlign w:val="superscript"/>
        </w:rPr>
        <w:t xml:space="preserve"> </w:t>
      </w:r>
      <w:r w:rsidRPr="00A46DC3">
        <w:rPr>
          <w:rFonts w:ascii="Times New Roman" w:hAnsi="Times New Roman" w:cs="Times New Roman"/>
          <w:sz w:val="24"/>
          <w:szCs w:val="24"/>
        </w:rPr>
        <w:t>with a 23% market share by assets and a 25% share of the total loan and deposits market. It is also the </w:t>
      </w:r>
      <w:hyperlink r:id="rId14" w:tooltip="List of largest employers in India" w:history="1">
        <w:r w:rsidRPr="00A46DC3">
          <w:rPr>
            <w:rStyle w:val="Hyperlink"/>
            <w:rFonts w:ascii="Times New Roman" w:hAnsi="Times New Roman" w:cs="Times New Roman"/>
            <w:color w:val="auto"/>
            <w:sz w:val="24"/>
            <w:szCs w:val="24"/>
            <w:u w:val="none"/>
          </w:rPr>
          <w:t>tenth largest employer in India</w:t>
        </w:r>
      </w:hyperlink>
      <w:r w:rsidRPr="00A46DC3">
        <w:rPr>
          <w:rFonts w:ascii="Times New Roman" w:hAnsi="Times New Roman" w:cs="Times New Roman"/>
          <w:sz w:val="24"/>
          <w:szCs w:val="24"/>
        </w:rPr>
        <w:t> with nearly 250,000 employees. As of 2024, SBI has 50 </w:t>
      </w:r>
      <w:hyperlink r:id="rId15" w:tooltip="Crore" w:history="1">
        <w:r w:rsidRPr="00A46DC3">
          <w:rPr>
            <w:rStyle w:val="Hyperlink"/>
            <w:rFonts w:ascii="Times New Roman" w:hAnsi="Times New Roman" w:cs="Times New Roman"/>
            <w:color w:val="auto"/>
            <w:sz w:val="24"/>
            <w:szCs w:val="24"/>
            <w:u w:val="none"/>
          </w:rPr>
          <w:t>crore</w:t>
        </w:r>
      </w:hyperlink>
      <w:r w:rsidRPr="00A46DC3">
        <w:rPr>
          <w:rFonts w:ascii="Times New Roman" w:hAnsi="Times New Roman" w:cs="Times New Roman"/>
          <w:sz w:val="24"/>
          <w:szCs w:val="24"/>
        </w:rPr>
        <w:t xml:space="preserve"> customers. </w:t>
      </w:r>
    </w:p>
    <w:p w14:paraId="4EA2B6FF" w14:textId="28E5446E" w:rsidR="006F4AF6" w:rsidRPr="00A46DC3" w:rsidRDefault="006F4AF6" w:rsidP="00C13825">
      <w:pPr>
        <w:tabs>
          <w:tab w:val="left" w:pos="5304"/>
        </w:tabs>
        <w:rPr>
          <w:rFonts w:ascii="Times New Roman" w:hAnsi="Times New Roman" w:cs="Times New Roman"/>
          <w:sz w:val="24"/>
          <w:szCs w:val="24"/>
        </w:rPr>
      </w:pPr>
      <w:r w:rsidRPr="00A46DC3">
        <w:rPr>
          <w:rFonts w:ascii="Times New Roman" w:hAnsi="Times New Roman" w:cs="Times New Roman"/>
          <w:sz w:val="24"/>
          <w:szCs w:val="24"/>
        </w:rPr>
        <w:t>The </w:t>
      </w:r>
      <w:hyperlink r:id="rId16" w:tooltip="Reserve Bank of India" w:history="1">
        <w:r w:rsidRPr="00A46DC3">
          <w:rPr>
            <w:rStyle w:val="Hyperlink"/>
            <w:rFonts w:ascii="Times New Roman" w:hAnsi="Times New Roman" w:cs="Times New Roman"/>
            <w:color w:val="auto"/>
            <w:sz w:val="24"/>
            <w:szCs w:val="24"/>
            <w:u w:val="none"/>
          </w:rPr>
          <w:t>Reserve Bank of India</w:t>
        </w:r>
      </w:hyperlink>
      <w:r w:rsidRPr="00A46DC3">
        <w:rPr>
          <w:rFonts w:ascii="Times New Roman" w:hAnsi="Times New Roman" w:cs="Times New Roman"/>
          <w:sz w:val="24"/>
          <w:szCs w:val="24"/>
        </w:rPr>
        <w:t> (RBI) has identified SBI</w:t>
      </w:r>
      <w:r w:rsidR="00C13825" w:rsidRPr="00A46DC3">
        <w:rPr>
          <w:rFonts w:ascii="Times New Roman" w:hAnsi="Times New Roman" w:cs="Times New Roman"/>
          <w:sz w:val="24"/>
          <w:szCs w:val="24"/>
        </w:rPr>
        <w:t xml:space="preserve"> as </w:t>
      </w:r>
      <w:hyperlink r:id="rId17" w:tooltip="Systemically important financial institution" w:history="1">
        <w:r w:rsidR="00C13825" w:rsidRPr="00A46DC3">
          <w:rPr>
            <w:rStyle w:val="Hyperlink"/>
            <w:rFonts w:ascii="Times New Roman" w:hAnsi="Times New Roman" w:cs="Times New Roman"/>
            <w:color w:val="auto"/>
            <w:sz w:val="24"/>
            <w:szCs w:val="24"/>
            <w:u w:val="none"/>
          </w:rPr>
          <w:t>Domestic Systemically Important Banks</w:t>
        </w:r>
      </w:hyperlink>
      <w:r w:rsidR="00C13825" w:rsidRPr="00A46DC3">
        <w:rPr>
          <w:rFonts w:ascii="Times New Roman" w:hAnsi="Times New Roman" w:cs="Times New Roman"/>
          <w:sz w:val="24"/>
          <w:szCs w:val="24"/>
        </w:rPr>
        <w:t> (D-SIBs), which are often referred to as banks that are "</w:t>
      </w:r>
      <w:hyperlink r:id="rId18" w:tooltip="Too big to fail" w:history="1">
        <w:r w:rsidR="00C13825" w:rsidRPr="00A46DC3">
          <w:rPr>
            <w:rStyle w:val="Hyperlink"/>
            <w:rFonts w:ascii="Times New Roman" w:hAnsi="Times New Roman" w:cs="Times New Roman"/>
            <w:color w:val="auto"/>
            <w:sz w:val="24"/>
            <w:szCs w:val="24"/>
            <w:u w:val="none"/>
          </w:rPr>
          <w:t>too big to fail</w:t>
        </w:r>
      </w:hyperlink>
      <w:r w:rsidR="00C13825" w:rsidRPr="00A46DC3">
        <w:rPr>
          <w:rFonts w:ascii="Times New Roman" w:hAnsi="Times New Roman" w:cs="Times New Roman"/>
          <w:sz w:val="24"/>
          <w:szCs w:val="24"/>
        </w:rPr>
        <w:t>". SBI is the </w:t>
      </w:r>
      <w:hyperlink r:id="rId19" w:tooltip="List of largest banks" w:history="1">
        <w:r w:rsidR="00C13825" w:rsidRPr="00A46DC3">
          <w:rPr>
            <w:rStyle w:val="Hyperlink"/>
            <w:rFonts w:ascii="Times New Roman" w:hAnsi="Times New Roman" w:cs="Times New Roman"/>
            <w:color w:val="auto"/>
            <w:sz w:val="24"/>
            <w:szCs w:val="24"/>
            <w:u w:val="none"/>
          </w:rPr>
          <w:t>47th largest bank in the world</w:t>
        </w:r>
      </w:hyperlink>
      <w:r w:rsidR="00C13825" w:rsidRPr="00A46DC3">
        <w:rPr>
          <w:rFonts w:ascii="Times New Roman" w:hAnsi="Times New Roman" w:cs="Times New Roman"/>
          <w:sz w:val="24"/>
          <w:szCs w:val="24"/>
        </w:rPr>
        <w:t> by total assets and ranked 178th in the </w:t>
      </w:r>
      <w:hyperlink r:id="rId20" w:tooltip="Fortune Global 500" w:history="1">
        <w:r w:rsidR="00C13825" w:rsidRPr="00A46DC3">
          <w:rPr>
            <w:rStyle w:val="Hyperlink"/>
            <w:rFonts w:ascii="Times New Roman" w:hAnsi="Times New Roman" w:cs="Times New Roman"/>
            <w:i/>
            <w:iCs/>
            <w:color w:val="auto"/>
            <w:sz w:val="24"/>
            <w:szCs w:val="24"/>
            <w:u w:val="none"/>
          </w:rPr>
          <w:t>Fortune</w:t>
        </w:r>
        <w:r w:rsidR="00C13825" w:rsidRPr="00A46DC3">
          <w:rPr>
            <w:rStyle w:val="Hyperlink"/>
            <w:rFonts w:ascii="Times New Roman" w:hAnsi="Times New Roman" w:cs="Times New Roman"/>
            <w:color w:val="auto"/>
            <w:sz w:val="24"/>
            <w:szCs w:val="24"/>
            <w:u w:val="none"/>
          </w:rPr>
          <w:t> Global 500</w:t>
        </w:r>
      </w:hyperlink>
      <w:r w:rsidR="00C13825" w:rsidRPr="00A46DC3">
        <w:rPr>
          <w:rFonts w:ascii="Times New Roman" w:hAnsi="Times New Roman" w:cs="Times New Roman"/>
          <w:sz w:val="24"/>
          <w:szCs w:val="24"/>
        </w:rPr>
        <w:t> list of the world's biggest corporations of 2024, being the only Indian bank on the list. In 2024, SBI was ranked 55th in </w:t>
      </w:r>
      <w:hyperlink r:id="rId21" w:tooltip="Forbes Global 2000" w:history="1">
        <w:r w:rsidR="00C13825" w:rsidRPr="00A46DC3">
          <w:rPr>
            <w:rStyle w:val="Hyperlink"/>
            <w:rFonts w:ascii="Times New Roman" w:hAnsi="Times New Roman" w:cs="Times New Roman"/>
            <w:i/>
            <w:iCs/>
            <w:color w:val="auto"/>
            <w:sz w:val="24"/>
            <w:szCs w:val="24"/>
            <w:u w:val="none"/>
          </w:rPr>
          <w:t>Forbes</w:t>
        </w:r>
        <w:r w:rsidR="00C13825" w:rsidRPr="00A46DC3">
          <w:rPr>
            <w:rStyle w:val="Hyperlink"/>
            <w:rFonts w:ascii="Times New Roman" w:hAnsi="Times New Roman" w:cs="Times New Roman"/>
            <w:color w:val="auto"/>
            <w:sz w:val="24"/>
            <w:szCs w:val="24"/>
            <w:u w:val="none"/>
          </w:rPr>
          <w:t> Global 2000</w:t>
        </w:r>
      </w:hyperlink>
      <w:r w:rsidR="00C13825" w:rsidRPr="00A46DC3">
        <w:rPr>
          <w:rFonts w:ascii="Times New Roman" w:hAnsi="Times New Roman" w:cs="Times New Roman"/>
          <w:sz w:val="24"/>
          <w:szCs w:val="24"/>
        </w:rPr>
        <w:t>.</w:t>
      </w:r>
    </w:p>
    <w:p w14:paraId="3FBE0A45" w14:textId="284B3483" w:rsidR="00FA2C29" w:rsidRPr="00A46DC3" w:rsidRDefault="00FA2C29" w:rsidP="00C13825">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HISTORY:</w:t>
      </w:r>
    </w:p>
    <w:p w14:paraId="0F9BEC4A" w14:textId="77777777" w:rsidR="000749E6" w:rsidRPr="00A46DC3" w:rsidRDefault="000749E6" w:rsidP="000749E6">
      <w:pPr>
        <w:tabs>
          <w:tab w:val="left" w:pos="5304"/>
        </w:tabs>
        <w:rPr>
          <w:rFonts w:ascii="Times New Roman" w:hAnsi="Times New Roman" w:cs="Times New Roman"/>
          <w:sz w:val="24"/>
          <w:szCs w:val="24"/>
        </w:rPr>
      </w:pPr>
      <w:r w:rsidRPr="00A46DC3">
        <w:rPr>
          <w:rFonts w:ascii="Times New Roman" w:hAnsi="Times New Roman" w:cs="Times New Roman"/>
          <w:sz w:val="24"/>
          <w:szCs w:val="24"/>
        </w:rPr>
        <w:t>The roots of the State Bank of India lie in the first decade of the 19th century when the </w:t>
      </w:r>
      <w:hyperlink r:id="rId22" w:tooltip="Bank of Calcutta" w:history="1">
        <w:r w:rsidRPr="00A46DC3">
          <w:rPr>
            <w:rStyle w:val="Hyperlink"/>
            <w:rFonts w:ascii="Times New Roman" w:hAnsi="Times New Roman" w:cs="Times New Roman"/>
            <w:color w:val="auto"/>
            <w:sz w:val="24"/>
            <w:szCs w:val="24"/>
            <w:u w:val="none"/>
          </w:rPr>
          <w:t>Bank of Calcutta</w:t>
        </w:r>
      </w:hyperlink>
      <w:r w:rsidRPr="00A46DC3">
        <w:rPr>
          <w:rFonts w:ascii="Times New Roman" w:hAnsi="Times New Roman" w:cs="Times New Roman"/>
          <w:sz w:val="24"/>
          <w:szCs w:val="24"/>
        </w:rPr>
        <w:t> (later renamed the </w:t>
      </w:r>
      <w:hyperlink r:id="rId23" w:tooltip="Bank of Bengal" w:history="1">
        <w:r w:rsidRPr="00A46DC3">
          <w:rPr>
            <w:rStyle w:val="Hyperlink"/>
            <w:rFonts w:ascii="Times New Roman" w:hAnsi="Times New Roman" w:cs="Times New Roman"/>
            <w:color w:val="auto"/>
            <w:sz w:val="24"/>
            <w:szCs w:val="24"/>
            <w:u w:val="none"/>
          </w:rPr>
          <w:t>Bank of Bengal</w:t>
        </w:r>
      </w:hyperlink>
      <w:r w:rsidRPr="00A46DC3">
        <w:rPr>
          <w:rFonts w:ascii="Times New Roman" w:hAnsi="Times New Roman" w:cs="Times New Roman"/>
          <w:sz w:val="24"/>
          <w:szCs w:val="24"/>
        </w:rPr>
        <w:t>) was established on 2 June 1806. The Bank of Bengal was one of three Presidency banks, the other two being the </w:t>
      </w:r>
      <w:hyperlink r:id="rId24" w:tooltip="Bank of Bombay" w:history="1">
        <w:r w:rsidRPr="00A46DC3">
          <w:rPr>
            <w:rStyle w:val="Hyperlink"/>
            <w:rFonts w:ascii="Times New Roman" w:hAnsi="Times New Roman" w:cs="Times New Roman"/>
            <w:color w:val="auto"/>
            <w:sz w:val="24"/>
            <w:szCs w:val="24"/>
            <w:u w:val="none"/>
          </w:rPr>
          <w:t>Bank of Bombay</w:t>
        </w:r>
      </w:hyperlink>
      <w:r w:rsidRPr="00A46DC3">
        <w:rPr>
          <w:rFonts w:ascii="Times New Roman" w:hAnsi="Times New Roman" w:cs="Times New Roman"/>
          <w:sz w:val="24"/>
          <w:szCs w:val="24"/>
        </w:rPr>
        <w:t> (incorporated on 15 April 1840) and the </w:t>
      </w:r>
      <w:hyperlink r:id="rId25" w:tooltip="Bank of Madras" w:history="1">
        <w:r w:rsidRPr="00A46DC3">
          <w:rPr>
            <w:rStyle w:val="Hyperlink"/>
            <w:rFonts w:ascii="Times New Roman" w:hAnsi="Times New Roman" w:cs="Times New Roman"/>
            <w:color w:val="auto"/>
            <w:sz w:val="24"/>
            <w:szCs w:val="24"/>
            <w:u w:val="none"/>
          </w:rPr>
          <w:t>Bank of Madras</w:t>
        </w:r>
      </w:hyperlink>
      <w:r w:rsidRPr="00A46DC3">
        <w:rPr>
          <w:rFonts w:ascii="Times New Roman" w:hAnsi="Times New Roman" w:cs="Times New Roman"/>
          <w:sz w:val="24"/>
          <w:szCs w:val="24"/>
        </w:rPr>
        <w:t> (incorporated on 1 July 1843). All three Presidency banks were incorporated as </w:t>
      </w:r>
      <w:hyperlink r:id="rId26" w:tooltip="Joint stock company" w:history="1">
        <w:r w:rsidRPr="00A46DC3">
          <w:rPr>
            <w:rStyle w:val="Hyperlink"/>
            <w:rFonts w:ascii="Times New Roman" w:hAnsi="Times New Roman" w:cs="Times New Roman"/>
            <w:color w:val="auto"/>
            <w:sz w:val="24"/>
            <w:szCs w:val="24"/>
            <w:u w:val="none"/>
          </w:rPr>
          <w:t>joint stock companies</w:t>
        </w:r>
      </w:hyperlink>
      <w:r w:rsidRPr="00A46DC3">
        <w:rPr>
          <w:rFonts w:ascii="Times New Roman" w:hAnsi="Times New Roman" w:cs="Times New Roman"/>
          <w:sz w:val="24"/>
          <w:szCs w:val="24"/>
        </w:rPr>
        <w:t> and were the result of </w:t>
      </w:r>
      <w:hyperlink r:id="rId27" w:tooltip="Royal charter" w:history="1">
        <w:r w:rsidRPr="00A46DC3">
          <w:rPr>
            <w:rStyle w:val="Hyperlink"/>
            <w:rFonts w:ascii="Times New Roman" w:hAnsi="Times New Roman" w:cs="Times New Roman"/>
            <w:color w:val="auto"/>
            <w:sz w:val="24"/>
            <w:szCs w:val="24"/>
            <w:u w:val="none"/>
          </w:rPr>
          <w:t>royal charters</w:t>
        </w:r>
      </w:hyperlink>
      <w:r w:rsidRPr="00A46DC3">
        <w:rPr>
          <w:rFonts w:ascii="Times New Roman" w:hAnsi="Times New Roman" w:cs="Times New Roman"/>
          <w:sz w:val="24"/>
          <w:szCs w:val="24"/>
        </w:rPr>
        <w:t>. These three banks received the exclusive right to issue paper currency till 1861 when, with the Paper Currency Act, the right was taken over by the Government of India. The Presidency banks amalgamated on 27 January 1921, and the re-organised banking entity took as its name </w:t>
      </w:r>
      <w:hyperlink r:id="rId28" w:tooltip="Imperial Bank of India" w:history="1">
        <w:r w:rsidRPr="00A46DC3">
          <w:rPr>
            <w:rStyle w:val="Hyperlink"/>
            <w:rFonts w:ascii="Times New Roman" w:hAnsi="Times New Roman" w:cs="Times New Roman"/>
            <w:color w:val="auto"/>
            <w:sz w:val="24"/>
            <w:szCs w:val="24"/>
            <w:u w:val="none"/>
          </w:rPr>
          <w:t>Imperial Bank of India</w:t>
        </w:r>
      </w:hyperlink>
      <w:r w:rsidRPr="00A46DC3">
        <w:rPr>
          <w:rFonts w:ascii="Times New Roman" w:hAnsi="Times New Roman" w:cs="Times New Roman"/>
          <w:sz w:val="24"/>
          <w:szCs w:val="24"/>
        </w:rPr>
        <w:t>. The Imperial Bank of India remained a joint-stock company but without Government participation.</w:t>
      </w:r>
    </w:p>
    <w:p w14:paraId="6BC4835C" w14:textId="77777777" w:rsidR="000749E6" w:rsidRPr="00A46DC3" w:rsidRDefault="000749E6" w:rsidP="000749E6">
      <w:pPr>
        <w:tabs>
          <w:tab w:val="left" w:pos="5304"/>
        </w:tabs>
        <w:rPr>
          <w:rFonts w:ascii="Times New Roman" w:hAnsi="Times New Roman" w:cs="Times New Roman"/>
          <w:sz w:val="24"/>
          <w:szCs w:val="24"/>
        </w:rPr>
      </w:pPr>
      <w:r w:rsidRPr="00A46DC3">
        <w:rPr>
          <w:rFonts w:ascii="Times New Roman" w:hAnsi="Times New Roman" w:cs="Times New Roman"/>
          <w:sz w:val="24"/>
          <w:szCs w:val="24"/>
        </w:rPr>
        <w:t>Under the provisions of the State Bank of India Act of 1955, the </w:t>
      </w:r>
      <w:hyperlink r:id="rId29" w:tooltip="Reserve Bank of India" w:history="1">
        <w:r w:rsidRPr="00A46DC3">
          <w:rPr>
            <w:rStyle w:val="Hyperlink"/>
            <w:rFonts w:ascii="Times New Roman" w:hAnsi="Times New Roman" w:cs="Times New Roman"/>
            <w:color w:val="auto"/>
            <w:sz w:val="24"/>
            <w:szCs w:val="24"/>
            <w:u w:val="none"/>
          </w:rPr>
          <w:t>Reserve Bank of India</w:t>
        </w:r>
      </w:hyperlink>
      <w:r w:rsidRPr="00A46DC3">
        <w:rPr>
          <w:rFonts w:ascii="Times New Roman" w:hAnsi="Times New Roman" w:cs="Times New Roman"/>
          <w:sz w:val="24"/>
          <w:szCs w:val="24"/>
        </w:rPr>
        <w:t>, which is </w:t>
      </w:r>
      <w:hyperlink r:id="rId30" w:tooltip="Central Bank" w:history="1">
        <w:r w:rsidRPr="00A46DC3">
          <w:rPr>
            <w:rStyle w:val="Hyperlink"/>
            <w:rFonts w:ascii="Times New Roman" w:hAnsi="Times New Roman" w:cs="Times New Roman"/>
            <w:color w:val="auto"/>
            <w:sz w:val="24"/>
            <w:szCs w:val="24"/>
            <w:u w:val="none"/>
          </w:rPr>
          <w:t>India's central bank</w:t>
        </w:r>
      </w:hyperlink>
      <w:r w:rsidRPr="00A46DC3">
        <w:rPr>
          <w:rFonts w:ascii="Times New Roman" w:hAnsi="Times New Roman" w:cs="Times New Roman"/>
          <w:sz w:val="24"/>
          <w:szCs w:val="24"/>
        </w:rPr>
        <w:t>, acquired a controlling interest in the Imperial Bank of India. On 1 July 1955, the Imperial Bank of India became the State Bank of India. In 2008, the </w:t>
      </w:r>
      <w:hyperlink r:id="rId31" w:tooltip="Government of India" w:history="1">
        <w:r w:rsidRPr="00A46DC3">
          <w:rPr>
            <w:rStyle w:val="Hyperlink"/>
            <w:rFonts w:ascii="Times New Roman" w:hAnsi="Times New Roman" w:cs="Times New Roman"/>
            <w:color w:val="auto"/>
            <w:sz w:val="24"/>
            <w:szCs w:val="24"/>
            <w:u w:val="none"/>
          </w:rPr>
          <w:t>Government of India</w:t>
        </w:r>
      </w:hyperlink>
      <w:r w:rsidRPr="00A46DC3">
        <w:rPr>
          <w:rFonts w:ascii="Times New Roman" w:hAnsi="Times New Roman" w:cs="Times New Roman"/>
          <w:sz w:val="24"/>
          <w:szCs w:val="24"/>
        </w:rPr>
        <w:t> acquired the Reserve Bank of India's stake in SBI to remove any </w:t>
      </w:r>
      <w:hyperlink r:id="rId32" w:tooltip="Conflict of interest" w:history="1">
        <w:r w:rsidRPr="00A46DC3">
          <w:rPr>
            <w:rStyle w:val="Hyperlink"/>
            <w:rFonts w:ascii="Times New Roman" w:hAnsi="Times New Roman" w:cs="Times New Roman"/>
            <w:color w:val="auto"/>
            <w:sz w:val="24"/>
            <w:szCs w:val="24"/>
            <w:u w:val="none"/>
          </w:rPr>
          <w:t>conflict of interest</w:t>
        </w:r>
      </w:hyperlink>
      <w:r w:rsidRPr="00A46DC3">
        <w:rPr>
          <w:rFonts w:ascii="Times New Roman" w:hAnsi="Times New Roman" w:cs="Times New Roman"/>
          <w:sz w:val="24"/>
          <w:szCs w:val="24"/>
        </w:rPr>
        <w:t> because the RBI is the country's banking regulatory authority.</w:t>
      </w:r>
    </w:p>
    <w:p w14:paraId="6CF04E44" w14:textId="77777777" w:rsidR="000749E6" w:rsidRPr="00A46DC3" w:rsidRDefault="000749E6" w:rsidP="000749E6">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1959, the government passed the State Bank of India (Subsidiary Banks) Act. This made eight banks that had belonged to </w:t>
      </w:r>
      <w:hyperlink r:id="rId33" w:tooltip="Indian Princely States" w:history="1">
        <w:r w:rsidRPr="00A46DC3">
          <w:rPr>
            <w:rStyle w:val="Hyperlink"/>
            <w:rFonts w:ascii="Times New Roman" w:hAnsi="Times New Roman" w:cs="Times New Roman"/>
            <w:color w:val="auto"/>
            <w:sz w:val="24"/>
            <w:szCs w:val="24"/>
            <w:u w:val="none"/>
          </w:rPr>
          <w:t>princely states</w:t>
        </w:r>
      </w:hyperlink>
      <w:r w:rsidRPr="00A46DC3">
        <w:rPr>
          <w:rFonts w:ascii="Times New Roman" w:hAnsi="Times New Roman" w:cs="Times New Roman"/>
          <w:sz w:val="24"/>
          <w:szCs w:val="24"/>
        </w:rPr>
        <w:t> into subsidiaries of SBI. This was during the First Five-Year Plan, which prioritised the development of rural India. The government integrated these banks into the State Bank of India system to expand its rural outreach. In 1963, SBI merged the State Bank of Jaipur (est. 1943) and State Bank of Bikaner (est.1944).</w:t>
      </w:r>
    </w:p>
    <w:p w14:paraId="4A3D00C8" w14:textId="6C8D0927" w:rsidR="00DD2AFC" w:rsidRPr="00A46DC3" w:rsidRDefault="00DD2AFC" w:rsidP="00146291">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March 2001, SBI partnered with </w:t>
      </w:r>
      <w:hyperlink r:id="rId34" w:tooltip="BNP Paribas" w:history="1">
        <w:r w:rsidRPr="00A46DC3">
          <w:rPr>
            <w:rStyle w:val="Hyperlink"/>
            <w:rFonts w:ascii="Times New Roman" w:hAnsi="Times New Roman" w:cs="Times New Roman"/>
            <w:color w:val="auto"/>
            <w:sz w:val="24"/>
            <w:szCs w:val="24"/>
            <w:u w:val="none"/>
          </w:rPr>
          <w:t>BNP Paribas</w:t>
        </w:r>
      </w:hyperlink>
      <w:r w:rsidRPr="00A46DC3">
        <w:rPr>
          <w:rFonts w:ascii="Times New Roman" w:hAnsi="Times New Roman" w:cs="Times New Roman"/>
          <w:sz w:val="24"/>
          <w:szCs w:val="24"/>
        </w:rPr>
        <w:t> to form a 76:24 </w:t>
      </w:r>
      <w:hyperlink r:id="rId35" w:tooltip="Joint venture" w:history="1">
        <w:r w:rsidRPr="00A46DC3">
          <w:rPr>
            <w:rStyle w:val="Hyperlink"/>
            <w:rFonts w:ascii="Times New Roman" w:hAnsi="Times New Roman" w:cs="Times New Roman"/>
            <w:color w:val="auto"/>
            <w:sz w:val="24"/>
            <w:szCs w:val="24"/>
            <w:u w:val="none"/>
          </w:rPr>
          <w:t>joint venture</w:t>
        </w:r>
      </w:hyperlink>
      <w:r w:rsidRPr="00A46DC3">
        <w:rPr>
          <w:rFonts w:ascii="Times New Roman" w:hAnsi="Times New Roman" w:cs="Times New Roman"/>
          <w:sz w:val="24"/>
          <w:szCs w:val="24"/>
        </w:rPr>
        <w:t> life insurance company named </w:t>
      </w:r>
      <w:hyperlink r:id="rId36" w:tooltip="SBI Life Insurance Company" w:history="1">
        <w:r w:rsidRPr="00A46DC3">
          <w:rPr>
            <w:rStyle w:val="Hyperlink"/>
            <w:rFonts w:ascii="Times New Roman" w:hAnsi="Times New Roman" w:cs="Times New Roman"/>
            <w:color w:val="auto"/>
            <w:sz w:val="24"/>
            <w:szCs w:val="24"/>
            <w:u w:val="none"/>
          </w:rPr>
          <w:t>SBI Life Insurance Company</w:t>
        </w:r>
      </w:hyperlink>
      <w:r w:rsidRPr="00A46DC3">
        <w:rPr>
          <w:rFonts w:ascii="Times New Roman" w:hAnsi="Times New Roman" w:cs="Times New Roman"/>
          <w:sz w:val="24"/>
          <w:szCs w:val="24"/>
        </w:rPr>
        <w:t>.</w:t>
      </w:r>
      <w:r w:rsidR="00146291" w:rsidRPr="00A46DC3">
        <w:rPr>
          <w:rFonts w:ascii="Times New Roman" w:hAnsi="Times New Roman" w:cs="Times New Roman"/>
          <w:sz w:val="24"/>
          <w:szCs w:val="24"/>
        </w:rPr>
        <w:t xml:space="preserve"> </w:t>
      </w:r>
      <w:r w:rsidRPr="00A46DC3">
        <w:rPr>
          <w:rFonts w:ascii="Times New Roman" w:hAnsi="Times New Roman" w:cs="Times New Roman"/>
          <w:sz w:val="24"/>
          <w:szCs w:val="24"/>
        </w:rPr>
        <w:t>The proposal to merge all the associate banks into SBI to create a single very large bank and streamline operations started in the mid-2000s.</w:t>
      </w:r>
      <w:r w:rsidR="00146291" w:rsidRPr="00A46DC3">
        <w:rPr>
          <w:rFonts w:ascii="Times New Roman" w:hAnsi="Times New Roman" w:cs="Times New Roman"/>
          <w:sz w:val="24"/>
          <w:szCs w:val="24"/>
        </w:rPr>
        <w:t xml:space="preserve"> </w:t>
      </w:r>
    </w:p>
    <w:p w14:paraId="0208E29B" w14:textId="700B6E30" w:rsidR="00146291" w:rsidRPr="00A46DC3" w:rsidRDefault="00146291" w:rsidP="00146291">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2016, the board of SBI and the Union Cabinet cleared the proposal to merge the remaining five associate banks (</w:t>
      </w:r>
      <w:hyperlink r:id="rId37" w:tooltip="State Bank of Bikaner and Jaipur" w:history="1">
        <w:r w:rsidRPr="00A46DC3">
          <w:rPr>
            <w:rStyle w:val="Hyperlink"/>
            <w:rFonts w:ascii="Times New Roman" w:hAnsi="Times New Roman" w:cs="Times New Roman"/>
            <w:color w:val="auto"/>
            <w:sz w:val="24"/>
            <w:szCs w:val="24"/>
            <w:u w:val="none"/>
          </w:rPr>
          <w:t>State Bank of Bikaner and Jaipur</w:t>
        </w:r>
      </w:hyperlink>
      <w:r w:rsidRPr="00A46DC3">
        <w:rPr>
          <w:rFonts w:ascii="Times New Roman" w:hAnsi="Times New Roman" w:cs="Times New Roman"/>
          <w:sz w:val="24"/>
          <w:szCs w:val="24"/>
        </w:rPr>
        <w:t>, </w:t>
      </w:r>
      <w:hyperlink r:id="rId38" w:tooltip="State Bank of Hyderabad" w:history="1">
        <w:r w:rsidRPr="00A46DC3">
          <w:rPr>
            <w:rStyle w:val="Hyperlink"/>
            <w:rFonts w:ascii="Times New Roman" w:hAnsi="Times New Roman" w:cs="Times New Roman"/>
            <w:color w:val="auto"/>
            <w:sz w:val="24"/>
            <w:szCs w:val="24"/>
            <w:u w:val="none"/>
          </w:rPr>
          <w:t>State Bank of Hyderabad</w:t>
        </w:r>
      </w:hyperlink>
      <w:r w:rsidRPr="00A46DC3">
        <w:rPr>
          <w:rFonts w:ascii="Times New Roman" w:hAnsi="Times New Roman" w:cs="Times New Roman"/>
          <w:sz w:val="24"/>
          <w:szCs w:val="24"/>
        </w:rPr>
        <w:t>, </w:t>
      </w:r>
      <w:hyperlink r:id="rId39" w:tooltip="State Bank of Mysore" w:history="1">
        <w:r w:rsidRPr="00A46DC3">
          <w:rPr>
            <w:rStyle w:val="Hyperlink"/>
            <w:rFonts w:ascii="Times New Roman" w:hAnsi="Times New Roman" w:cs="Times New Roman"/>
            <w:color w:val="auto"/>
            <w:sz w:val="24"/>
            <w:szCs w:val="24"/>
            <w:u w:val="none"/>
          </w:rPr>
          <w:t>State Bank of Mysore</w:t>
        </w:r>
      </w:hyperlink>
      <w:r w:rsidRPr="00A46DC3">
        <w:rPr>
          <w:rFonts w:ascii="Times New Roman" w:hAnsi="Times New Roman" w:cs="Times New Roman"/>
          <w:sz w:val="24"/>
          <w:szCs w:val="24"/>
        </w:rPr>
        <w:t>, </w:t>
      </w:r>
      <w:hyperlink r:id="rId40" w:tooltip="State Bank of Patiala" w:history="1">
        <w:r w:rsidRPr="00A46DC3">
          <w:rPr>
            <w:rStyle w:val="Hyperlink"/>
            <w:rFonts w:ascii="Times New Roman" w:hAnsi="Times New Roman" w:cs="Times New Roman"/>
            <w:color w:val="auto"/>
            <w:sz w:val="24"/>
            <w:szCs w:val="24"/>
            <w:u w:val="none"/>
          </w:rPr>
          <w:t>State Bank of Patiala</w:t>
        </w:r>
      </w:hyperlink>
      <w:r w:rsidRPr="00A46DC3">
        <w:rPr>
          <w:rFonts w:ascii="Times New Roman" w:hAnsi="Times New Roman" w:cs="Times New Roman"/>
          <w:sz w:val="24"/>
          <w:szCs w:val="24"/>
        </w:rPr>
        <w:t>, and </w:t>
      </w:r>
      <w:hyperlink r:id="rId41" w:tooltip="State Bank of Travancore" w:history="1">
        <w:r w:rsidRPr="00A46DC3">
          <w:rPr>
            <w:rStyle w:val="Hyperlink"/>
            <w:rFonts w:ascii="Times New Roman" w:hAnsi="Times New Roman" w:cs="Times New Roman"/>
            <w:color w:val="auto"/>
            <w:sz w:val="24"/>
            <w:szCs w:val="24"/>
            <w:u w:val="none"/>
          </w:rPr>
          <w:t>State Bank of Travancore</w:t>
        </w:r>
      </w:hyperlink>
      <w:r w:rsidRPr="00A46DC3">
        <w:rPr>
          <w:rFonts w:ascii="Times New Roman" w:hAnsi="Times New Roman" w:cs="Times New Roman"/>
          <w:sz w:val="24"/>
          <w:szCs w:val="24"/>
        </w:rPr>
        <w:t>) and SBI's fully-owned subsidiary </w:t>
      </w:r>
      <w:hyperlink r:id="rId42" w:tooltip="Bharatiya Mahila Bank" w:history="1">
        <w:r w:rsidRPr="00A46DC3">
          <w:rPr>
            <w:rStyle w:val="Hyperlink"/>
            <w:rFonts w:ascii="Times New Roman" w:hAnsi="Times New Roman" w:cs="Times New Roman"/>
            <w:color w:val="auto"/>
            <w:sz w:val="24"/>
            <w:szCs w:val="24"/>
            <w:u w:val="none"/>
          </w:rPr>
          <w:t>Bhartiya Mahila Bank</w:t>
        </w:r>
      </w:hyperlink>
      <w:r w:rsidRPr="00A46DC3">
        <w:rPr>
          <w:rFonts w:ascii="Times New Roman" w:hAnsi="Times New Roman" w:cs="Times New Roman"/>
          <w:sz w:val="24"/>
          <w:szCs w:val="24"/>
        </w:rPr>
        <w:t xml:space="preserve"> with SBI. The merger would see SBI entering the list of </w:t>
      </w:r>
      <w:proofErr w:type="gramStart"/>
      <w:r w:rsidRPr="00A46DC3">
        <w:rPr>
          <w:rFonts w:ascii="Times New Roman" w:hAnsi="Times New Roman" w:cs="Times New Roman"/>
          <w:sz w:val="24"/>
          <w:szCs w:val="24"/>
        </w:rPr>
        <w:t>world's</w:t>
      </w:r>
      <w:proofErr w:type="gramEnd"/>
      <w:r w:rsidRPr="00A46DC3">
        <w:rPr>
          <w:rFonts w:ascii="Times New Roman" w:hAnsi="Times New Roman" w:cs="Times New Roman"/>
          <w:sz w:val="24"/>
          <w:szCs w:val="24"/>
        </w:rPr>
        <w:t xml:space="preserve"> 50 largest banks by assets. The merger went into effect on 1 April 2017. </w:t>
      </w:r>
    </w:p>
    <w:p w14:paraId="29E9F893" w14:textId="256EE5F5" w:rsidR="00146291" w:rsidRPr="00A46DC3" w:rsidRDefault="00146291" w:rsidP="00146291">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March 2020, as part of an RBI-directed rescue deal, the State Bank of India acquired a 48.2% stake in </w:t>
      </w:r>
      <w:hyperlink r:id="rId43" w:tooltip="Yes Bank" w:history="1">
        <w:r w:rsidRPr="00A46DC3">
          <w:rPr>
            <w:rStyle w:val="Hyperlink"/>
            <w:rFonts w:ascii="Times New Roman" w:hAnsi="Times New Roman" w:cs="Times New Roman"/>
            <w:color w:val="auto"/>
            <w:sz w:val="24"/>
            <w:szCs w:val="24"/>
            <w:u w:val="none"/>
          </w:rPr>
          <w:t>Yes Bank</w:t>
        </w:r>
      </w:hyperlink>
      <w:r w:rsidRPr="00A46DC3">
        <w:rPr>
          <w:rFonts w:ascii="Times New Roman" w:hAnsi="Times New Roman" w:cs="Times New Roman"/>
          <w:sz w:val="24"/>
          <w:szCs w:val="24"/>
        </w:rPr>
        <w:t>. As of 8 February 2024, the shareholding has decreased to 26.13%.</w:t>
      </w:r>
    </w:p>
    <w:p w14:paraId="11F1735B" w14:textId="77777777" w:rsidR="00146291" w:rsidRPr="00A46DC3" w:rsidRDefault="00146291" w:rsidP="00146291">
      <w:pPr>
        <w:tabs>
          <w:tab w:val="left" w:pos="5304"/>
        </w:tabs>
        <w:rPr>
          <w:rFonts w:ascii="Times New Roman" w:hAnsi="Times New Roman" w:cs="Times New Roman"/>
          <w:sz w:val="24"/>
          <w:szCs w:val="24"/>
          <w:vertAlign w:val="superscript"/>
        </w:rPr>
      </w:pPr>
      <w:r w:rsidRPr="00A46DC3">
        <w:rPr>
          <w:rFonts w:ascii="Times New Roman" w:hAnsi="Times New Roman" w:cs="Times New Roman"/>
          <w:sz w:val="24"/>
          <w:szCs w:val="24"/>
        </w:rPr>
        <w:lastRenderedPageBreak/>
        <w:t>On 16 August 2022, in an attempt to facilitate and support India's </w:t>
      </w:r>
      <w:hyperlink r:id="rId44" w:tooltip="Startup company" w:history="1">
        <w:r w:rsidRPr="00A46DC3">
          <w:rPr>
            <w:rStyle w:val="Hyperlink"/>
            <w:rFonts w:ascii="Times New Roman" w:hAnsi="Times New Roman" w:cs="Times New Roman"/>
            <w:color w:val="auto"/>
            <w:sz w:val="24"/>
            <w:szCs w:val="24"/>
            <w:u w:val="none"/>
          </w:rPr>
          <w:t>start-ups</w:t>
        </w:r>
      </w:hyperlink>
      <w:r w:rsidRPr="00A46DC3">
        <w:rPr>
          <w:rFonts w:ascii="Times New Roman" w:hAnsi="Times New Roman" w:cs="Times New Roman"/>
          <w:sz w:val="24"/>
          <w:szCs w:val="24"/>
        </w:rPr>
        <w:t>, SBI launched a dedicated branch for start-ups in </w:t>
      </w:r>
      <w:hyperlink r:id="rId45" w:tooltip="Bengaluru" w:history="1">
        <w:r w:rsidRPr="00A46DC3">
          <w:rPr>
            <w:rStyle w:val="Hyperlink"/>
            <w:rFonts w:ascii="Times New Roman" w:hAnsi="Times New Roman" w:cs="Times New Roman"/>
            <w:color w:val="auto"/>
            <w:sz w:val="24"/>
            <w:szCs w:val="24"/>
            <w:u w:val="none"/>
          </w:rPr>
          <w:t>Bengaluru</w:t>
        </w:r>
      </w:hyperlink>
      <w:r w:rsidRPr="00A46DC3">
        <w:rPr>
          <w:rFonts w:ascii="Times New Roman" w:hAnsi="Times New Roman" w:cs="Times New Roman"/>
          <w:sz w:val="24"/>
          <w:szCs w:val="24"/>
        </w:rPr>
        <w:t>.</w:t>
      </w:r>
    </w:p>
    <w:p w14:paraId="3BB8BADA" w14:textId="6A846704" w:rsidR="00FA2C29" w:rsidRPr="00A46DC3" w:rsidRDefault="00146291" w:rsidP="00146291">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 </w:t>
      </w:r>
    </w:p>
    <w:p w14:paraId="4D5682CC" w14:textId="1D4EF9C6" w:rsidR="00146291" w:rsidRPr="00A46DC3" w:rsidRDefault="00146291" w:rsidP="00146291">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3.11. COMPANY PROFILE – HDFC BANK</w:t>
      </w:r>
    </w:p>
    <w:p w14:paraId="50A4921D" w14:textId="12BDE3BF" w:rsidR="0064097D" w:rsidRPr="00A46DC3" w:rsidRDefault="004515E1" w:rsidP="0064097D">
      <w:pPr>
        <w:tabs>
          <w:tab w:val="left" w:pos="5304"/>
        </w:tabs>
        <w:rPr>
          <w:rFonts w:ascii="Times New Roman" w:hAnsi="Times New Roman" w:cs="Times New Roman"/>
          <w:sz w:val="24"/>
          <w:szCs w:val="24"/>
        </w:rPr>
      </w:pPr>
      <w:r w:rsidRPr="00A46DC3">
        <w:rPr>
          <w:rFonts w:ascii="Times New Roman" w:hAnsi="Times New Roman" w:cs="Times New Roman"/>
          <w:sz w:val="24"/>
          <w:szCs w:val="24"/>
        </w:rPr>
        <w:t>HDFC Bank Limited is an Indian </w:t>
      </w:r>
      <w:hyperlink r:id="rId46" w:tooltip="Banking" w:history="1">
        <w:r w:rsidRPr="00A46DC3">
          <w:rPr>
            <w:rStyle w:val="Hyperlink"/>
            <w:rFonts w:ascii="Times New Roman" w:hAnsi="Times New Roman" w:cs="Times New Roman"/>
            <w:color w:val="auto"/>
            <w:sz w:val="24"/>
            <w:szCs w:val="24"/>
            <w:u w:val="none"/>
          </w:rPr>
          <w:t>banking</w:t>
        </w:r>
      </w:hyperlink>
      <w:r w:rsidRPr="00A46DC3">
        <w:rPr>
          <w:rFonts w:ascii="Times New Roman" w:hAnsi="Times New Roman" w:cs="Times New Roman"/>
          <w:sz w:val="24"/>
          <w:szCs w:val="24"/>
        </w:rPr>
        <w:t> and </w:t>
      </w:r>
      <w:hyperlink r:id="rId47" w:tooltip="Financial services" w:history="1">
        <w:r w:rsidRPr="00A46DC3">
          <w:rPr>
            <w:rStyle w:val="Hyperlink"/>
            <w:rFonts w:ascii="Times New Roman" w:hAnsi="Times New Roman" w:cs="Times New Roman"/>
            <w:color w:val="auto"/>
            <w:sz w:val="24"/>
            <w:szCs w:val="24"/>
            <w:u w:val="none"/>
          </w:rPr>
          <w:t>financial services</w:t>
        </w:r>
      </w:hyperlink>
      <w:r w:rsidRPr="00A46DC3">
        <w:rPr>
          <w:rFonts w:ascii="Times New Roman" w:hAnsi="Times New Roman" w:cs="Times New Roman"/>
          <w:sz w:val="24"/>
          <w:szCs w:val="24"/>
        </w:rPr>
        <w:t> </w:t>
      </w:r>
      <w:hyperlink r:id="rId48" w:tooltip="Company" w:history="1">
        <w:r w:rsidRPr="00A46DC3">
          <w:rPr>
            <w:rStyle w:val="Hyperlink"/>
            <w:rFonts w:ascii="Times New Roman" w:hAnsi="Times New Roman" w:cs="Times New Roman"/>
            <w:color w:val="auto"/>
            <w:sz w:val="24"/>
            <w:szCs w:val="24"/>
            <w:u w:val="none"/>
          </w:rPr>
          <w:t>company</w:t>
        </w:r>
      </w:hyperlink>
      <w:r w:rsidRPr="00A46DC3">
        <w:rPr>
          <w:rFonts w:ascii="Times New Roman" w:hAnsi="Times New Roman" w:cs="Times New Roman"/>
          <w:sz w:val="24"/>
          <w:szCs w:val="24"/>
        </w:rPr>
        <w:t>, headquartered in </w:t>
      </w:r>
      <w:hyperlink r:id="rId49" w:tooltip="Mumbai" w:history="1">
        <w:r w:rsidRPr="00A46DC3">
          <w:rPr>
            <w:rStyle w:val="Hyperlink"/>
            <w:rFonts w:ascii="Times New Roman" w:hAnsi="Times New Roman" w:cs="Times New Roman"/>
            <w:color w:val="auto"/>
            <w:sz w:val="24"/>
            <w:szCs w:val="24"/>
            <w:u w:val="none"/>
          </w:rPr>
          <w:t>Mumbai</w:t>
        </w:r>
      </w:hyperlink>
      <w:r w:rsidRPr="00A46DC3">
        <w:rPr>
          <w:rFonts w:ascii="Times New Roman" w:hAnsi="Times New Roman" w:cs="Times New Roman"/>
          <w:sz w:val="24"/>
          <w:szCs w:val="24"/>
        </w:rPr>
        <w:t xml:space="preserve">. It is India's largest private sector bank by assets and market capitalization. </w:t>
      </w:r>
      <w:r w:rsidR="0064097D" w:rsidRPr="00A46DC3">
        <w:rPr>
          <w:rFonts w:ascii="Times New Roman" w:hAnsi="Times New Roman" w:cs="Times New Roman"/>
          <w:sz w:val="24"/>
          <w:szCs w:val="24"/>
        </w:rPr>
        <w:t>The </w:t>
      </w:r>
      <w:hyperlink r:id="rId50" w:tooltip="Reserve Bank of India" w:history="1">
        <w:r w:rsidR="0064097D" w:rsidRPr="00A46DC3">
          <w:rPr>
            <w:rStyle w:val="Hyperlink"/>
            <w:rFonts w:ascii="Times New Roman" w:hAnsi="Times New Roman" w:cs="Times New Roman"/>
            <w:color w:val="auto"/>
            <w:sz w:val="24"/>
            <w:szCs w:val="24"/>
            <w:u w:val="none"/>
          </w:rPr>
          <w:t>Reserve Bank of India</w:t>
        </w:r>
      </w:hyperlink>
      <w:r w:rsidR="0064097D" w:rsidRPr="00A46DC3">
        <w:rPr>
          <w:rFonts w:ascii="Times New Roman" w:hAnsi="Times New Roman" w:cs="Times New Roman"/>
          <w:sz w:val="24"/>
          <w:szCs w:val="24"/>
        </w:rPr>
        <w:t> (RBI) has identified the HDFC Bank as </w:t>
      </w:r>
      <w:hyperlink r:id="rId51" w:tooltip="Systemically important financial institution" w:history="1">
        <w:r w:rsidR="0064097D" w:rsidRPr="00A46DC3">
          <w:rPr>
            <w:rStyle w:val="Hyperlink"/>
            <w:rFonts w:ascii="Times New Roman" w:hAnsi="Times New Roman" w:cs="Times New Roman"/>
            <w:color w:val="auto"/>
            <w:sz w:val="24"/>
            <w:szCs w:val="24"/>
            <w:u w:val="none"/>
          </w:rPr>
          <w:t>Domestic Systemically Important Banks</w:t>
        </w:r>
      </w:hyperlink>
      <w:r w:rsidR="0064097D" w:rsidRPr="00A46DC3">
        <w:rPr>
          <w:rFonts w:ascii="Times New Roman" w:hAnsi="Times New Roman" w:cs="Times New Roman"/>
          <w:sz w:val="24"/>
          <w:szCs w:val="24"/>
        </w:rPr>
        <w:t> (D-SIBs), which are often referred to as banks that are “</w:t>
      </w:r>
      <w:hyperlink r:id="rId52" w:tooltip="Too big to fail" w:history="1">
        <w:r w:rsidR="0064097D" w:rsidRPr="00A46DC3">
          <w:rPr>
            <w:rStyle w:val="Hyperlink"/>
            <w:rFonts w:ascii="Times New Roman" w:hAnsi="Times New Roman" w:cs="Times New Roman"/>
            <w:color w:val="auto"/>
            <w:sz w:val="24"/>
            <w:szCs w:val="24"/>
            <w:u w:val="none"/>
          </w:rPr>
          <w:t>too big to fail</w:t>
        </w:r>
      </w:hyperlink>
      <w:r w:rsidR="0064097D" w:rsidRPr="00A46DC3">
        <w:rPr>
          <w:rFonts w:ascii="Times New Roman" w:hAnsi="Times New Roman" w:cs="Times New Roman"/>
          <w:sz w:val="24"/>
          <w:szCs w:val="24"/>
        </w:rPr>
        <w:t>”.</w:t>
      </w:r>
      <w:r w:rsidR="00D1080D" w:rsidRPr="00A46DC3">
        <w:rPr>
          <w:rFonts w:ascii="Times New Roman" w:hAnsi="Times New Roman" w:cs="Times New Roman"/>
          <w:sz w:val="24"/>
          <w:szCs w:val="24"/>
        </w:rPr>
        <w:t xml:space="preserve"> </w:t>
      </w:r>
    </w:p>
    <w:p w14:paraId="2F6728AD" w14:textId="47EEC08C" w:rsidR="0061024E" w:rsidRPr="00A46DC3" w:rsidRDefault="0064097D" w:rsidP="00D1080D">
      <w:pPr>
        <w:tabs>
          <w:tab w:val="left" w:pos="5304"/>
        </w:tabs>
        <w:rPr>
          <w:rFonts w:ascii="Times New Roman" w:hAnsi="Times New Roman" w:cs="Times New Roman"/>
          <w:sz w:val="24"/>
          <w:szCs w:val="24"/>
        </w:rPr>
      </w:pPr>
      <w:r w:rsidRPr="00A46DC3">
        <w:rPr>
          <w:rFonts w:ascii="Times New Roman" w:hAnsi="Times New Roman" w:cs="Times New Roman"/>
          <w:sz w:val="24"/>
          <w:szCs w:val="24"/>
        </w:rPr>
        <w:t>As of April 2024, HDFC Bank has a market capitalization of $145 billion making it the third-largest company on the Indian stock exchanges.</w:t>
      </w:r>
      <w:r w:rsidR="00D1080D" w:rsidRPr="00A46DC3">
        <w:rPr>
          <w:rFonts w:ascii="Times New Roman" w:hAnsi="Times New Roman" w:cs="Times New Roman"/>
          <w:sz w:val="24"/>
          <w:szCs w:val="24"/>
        </w:rPr>
        <w:t xml:space="preserve"> </w:t>
      </w:r>
      <w:r w:rsidRPr="00A46DC3">
        <w:rPr>
          <w:rFonts w:ascii="Times New Roman" w:hAnsi="Times New Roman" w:cs="Times New Roman"/>
          <w:sz w:val="24"/>
          <w:szCs w:val="24"/>
        </w:rPr>
        <w:t>It is also the </w:t>
      </w:r>
      <w:hyperlink r:id="rId53" w:tooltip="List of largest employers in India" w:history="1">
        <w:r w:rsidRPr="00A46DC3">
          <w:rPr>
            <w:rStyle w:val="Hyperlink"/>
            <w:rFonts w:ascii="Times New Roman" w:hAnsi="Times New Roman" w:cs="Times New Roman"/>
            <w:color w:val="auto"/>
            <w:sz w:val="24"/>
            <w:szCs w:val="24"/>
            <w:u w:val="none"/>
          </w:rPr>
          <w:t>sixteenth largest employer in India</w:t>
        </w:r>
      </w:hyperlink>
      <w:r w:rsidRPr="00A46DC3">
        <w:rPr>
          <w:rFonts w:ascii="Times New Roman" w:hAnsi="Times New Roman" w:cs="Times New Roman"/>
          <w:sz w:val="24"/>
          <w:szCs w:val="24"/>
        </w:rPr>
        <w:t> with over 173,000 employees, following its </w:t>
      </w:r>
      <w:hyperlink r:id="rId54" w:tooltip="Takeover" w:history="1">
        <w:r w:rsidRPr="00A46DC3">
          <w:rPr>
            <w:rStyle w:val="Hyperlink"/>
            <w:rFonts w:ascii="Times New Roman" w:hAnsi="Times New Roman" w:cs="Times New Roman"/>
            <w:color w:val="auto"/>
            <w:sz w:val="24"/>
            <w:szCs w:val="24"/>
            <w:u w:val="none"/>
          </w:rPr>
          <w:t>takeover</w:t>
        </w:r>
      </w:hyperlink>
      <w:r w:rsidRPr="00A46DC3">
        <w:rPr>
          <w:rFonts w:ascii="Times New Roman" w:hAnsi="Times New Roman" w:cs="Times New Roman"/>
          <w:sz w:val="24"/>
          <w:szCs w:val="24"/>
        </w:rPr>
        <w:t> of parent company </w:t>
      </w:r>
      <w:hyperlink r:id="rId55" w:tooltip="Housing Development Finance Corporation" w:history="1">
        <w:r w:rsidRPr="00A46DC3">
          <w:rPr>
            <w:rStyle w:val="Hyperlink"/>
            <w:rFonts w:ascii="Times New Roman" w:hAnsi="Times New Roman" w:cs="Times New Roman"/>
            <w:color w:val="auto"/>
            <w:sz w:val="24"/>
            <w:szCs w:val="24"/>
            <w:u w:val="none"/>
          </w:rPr>
          <w:t>Housing Development Finance Corporation</w:t>
        </w:r>
      </w:hyperlink>
      <w:r w:rsidRPr="00A46DC3">
        <w:rPr>
          <w:rFonts w:ascii="Times New Roman" w:hAnsi="Times New Roman" w:cs="Times New Roman"/>
          <w:sz w:val="24"/>
          <w:szCs w:val="24"/>
        </w:rPr>
        <w:t>.</w:t>
      </w:r>
      <w:r w:rsidR="00D1080D" w:rsidRPr="00A46DC3">
        <w:rPr>
          <w:rFonts w:ascii="Times New Roman" w:hAnsi="Times New Roman" w:cs="Times New Roman"/>
          <w:sz w:val="24"/>
          <w:szCs w:val="24"/>
        </w:rPr>
        <w:t xml:space="preserve"> </w:t>
      </w:r>
    </w:p>
    <w:p w14:paraId="439E675C" w14:textId="6CEF323C" w:rsidR="0061024E" w:rsidRPr="00A46DC3" w:rsidRDefault="0061024E" w:rsidP="00146291">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HISTORY:</w:t>
      </w:r>
    </w:p>
    <w:p w14:paraId="7DFCA271" w14:textId="0193E824" w:rsidR="002128F7" w:rsidRPr="00A46DC3" w:rsidRDefault="002128F7" w:rsidP="002128F7">
      <w:pPr>
        <w:tabs>
          <w:tab w:val="left" w:pos="5304"/>
        </w:tabs>
        <w:rPr>
          <w:rFonts w:ascii="Times New Roman" w:hAnsi="Times New Roman" w:cs="Times New Roman"/>
          <w:sz w:val="24"/>
          <w:szCs w:val="24"/>
        </w:rPr>
      </w:pPr>
      <w:r w:rsidRPr="00A46DC3">
        <w:rPr>
          <w:rFonts w:ascii="Times New Roman" w:hAnsi="Times New Roman" w:cs="Times New Roman"/>
          <w:sz w:val="24"/>
          <w:szCs w:val="24"/>
        </w:rPr>
        <w:t>HDFC Bank was incorporated in 1994 as a subsidiary of </w:t>
      </w:r>
      <w:hyperlink r:id="rId56" w:tooltip="Housing Development Finance Corporation" w:history="1">
        <w:r w:rsidRPr="00A46DC3">
          <w:rPr>
            <w:rStyle w:val="Hyperlink"/>
            <w:rFonts w:ascii="Times New Roman" w:hAnsi="Times New Roman" w:cs="Times New Roman"/>
            <w:color w:val="auto"/>
            <w:sz w:val="24"/>
            <w:szCs w:val="24"/>
            <w:u w:val="none"/>
          </w:rPr>
          <w:t>HDFC Ltd</w:t>
        </w:r>
      </w:hyperlink>
      <w:r w:rsidRPr="00A46DC3">
        <w:rPr>
          <w:rFonts w:ascii="Times New Roman" w:hAnsi="Times New Roman" w:cs="Times New Roman"/>
          <w:sz w:val="24"/>
          <w:szCs w:val="24"/>
        </w:rPr>
        <w:t>, which received an 'in principle' approval from the RBI to set up a bank in the Private Sector as part of its </w:t>
      </w:r>
      <w:hyperlink r:id="rId57" w:tooltip="Economic liberalisation in India" w:history="1">
        <w:r w:rsidRPr="00A46DC3">
          <w:rPr>
            <w:rStyle w:val="Hyperlink"/>
            <w:rFonts w:ascii="Times New Roman" w:hAnsi="Times New Roman" w:cs="Times New Roman"/>
            <w:color w:val="auto"/>
            <w:sz w:val="24"/>
            <w:szCs w:val="24"/>
            <w:u w:val="none"/>
          </w:rPr>
          <w:t>liberalization</w:t>
        </w:r>
      </w:hyperlink>
      <w:r w:rsidRPr="00A46DC3">
        <w:rPr>
          <w:rFonts w:ascii="Times New Roman" w:hAnsi="Times New Roman" w:cs="Times New Roman"/>
          <w:sz w:val="24"/>
          <w:szCs w:val="24"/>
        </w:rPr>
        <w:t> of the Indian banking industry.</w:t>
      </w:r>
      <w:r w:rsidR="00DE744B" w:rsidRPr="00A46DC3">
        <w:rPr>
          <w:rFonts w:ascii="Times New Roman" w:hAnsi="Times New Roman" w:cs="Times New Roman"/>
          <w:sz w:val="24"/>
          <w:szCs w:val="24"/>
        </w:rPr>
        <w:t xml:space="preserve"> </w:t>
      </w:r>
      <w:r w:rsidRPr="00A46DC3">
        <w:rPr>
          <w:rFonts w:ascii="Times New Roman" w:hAnsi="Times New Roman" w:cs="Times New Roman"/>
          <w:sz w:val="24"/>
          <w:szCs w:val="24"/>
        </w:rPr>
        <w:t>The bank commenced operations in January 1995, with its registered office in </w:t>
      </w:r>
      <w:hyperlink r:id="rId58" w:tooltip="Mumbai" w:history="1">
        <w:r w:rsidRPr="00A46DC3">
          <w:rPr>
            <w:rStyle w:val="Hyperlink"/>
            <w:rFonts w:ascii="Times New Roman" w:hAnsi="Times New Roman" w:cs="Times New Roman"/>
            <w:color w:val="auto"/>
            <w:sz w:val="24"/>
            <w:szCs w:val="24"/>
            <w:u w:val="none"/>
          </w:rPr>
          <w:t>Mumbai</w:t>
        </w:r>
      </w:hyperlink>
      <w:r w:rsidRPr="00A46DC3">
        <w:rPr>
          <w:rFonts w:ascii="Times New Roman" w:hAnsi="Times New Roman" w:cs="Times New Roman"/>
          <w:sz w:val="24"/>
          <w:szCs w:val="24"/>
        </w:rPr>
        <w:t>. Its first corporate office and a full-service branch at Sandoz House, </w:t>
      </w:r>
      <w:hyperlink r:id="rId59" w:tooltip="Worli" w:history="1">
        <w:r w:rsidRPr="00A46DC3">
          <w:rPr>
            <w:rStyle w:val="Hyperlink"/>
            <w:rFonts w:ascii="Times New Roman" w:hAnsi="Times New Roman" w:cs="Times New Roman"/>
            <w:color w:val="auto"/>
            <w:sz w:val="24"/>
            <w:szCs w:val="24"/>
            <w:u w:val="none"/>
          </w:rPr>
          <w:t>Worli</w:t>
        </w:r>
      </w:hyperlink>
      <w:r w:rsidRPr="00A46DC3">
        <w:rPr>
          <w:rFonts w:ascii="Times New Roman" w:hAnsi="Times New Roman" w:cs="Times New Roman"/>
          <w:sz w:val="24"/>
          <w:szCs w:val="24"/>
        </w:rPr>
        <w:t>, was inaugurated by the then </w:t>
      </w:r>
      <w:hyperlink r:id="rId60" w:tooltip="Ministry of Finance (India)" w:history="1">
        <w:r w:rsidRPr="00A46DC3">
          <w:rPr>
            <w:rStyle w:val="Hyperlink"/>
            <w:rFonts w:ascii="Times New Roman" w:hAnsi="Times New Roman" w:cs="Times New Roman"/>
            <w:color w:val="auto"/>
            <w:sz w:val="24"/>
            <w:szCs w:val="24"/>
            <w:u w:val="none"/>
          </w:rPr>
          <w:t>Union Finance Minister</w:t>
        </w:r>
      </w:hyperlink>
      <w:r w:rsidRPr="00A46DC3">
        <w:rPr>
          <w:rFonts w:ascii="Times New Roman" w:hAnsi="Times New Roman" w:cs="Times New Roman"/>
          <w:sz w:val="24"/>
          <w:szCs w:val="24"/>
        </w:rPr>
        <w:t>, </w:t>
      </w:r>
      <w:hyperlink r:id="rId61" w:tooltip="Manmohan Singh" w:history="1">
        <w:r w:rsidRPr="00A46DC3">
          <w:rPr>
            <w:rStyle w:val="Hyperlink"/>
            <w:rFonts w:ascii="Times New Roman" w:hAnsi="Times New Roman" w:cs="Times New Roman"/>
            <w:color w:val="auto"/>
            <w:sz w:val="24"/>
            <w:szCs w:val="24"/>
            <w:u w:val="none"/>
          </w:rPr>
          <w:t>Manmohan Singh</w:t>
        </w:r>
      </w:hyperlink>
      <w:r w:rsidRPr="00A46DC3">
        <w:rPr>
          <w:rFonts w:ascii="Times New Roman" w:hAnsi="Times New Roman" w:cs="Times New Roman"/>
          <w:sz w:val="24"/>
          <w:szCs w:val="24"/>
        </w:rPr>
        <w:t>.</w:t>
      </w:r>
      <w:r w:rsidR="00DE744B" w:rsidRPr="00A46DC3">
        <w:rPr>
          <w:rFonts w:ascii="Times New Roman" w:hAnsi="Times New Roman" w:cs="Times New Roman"/>
          <w:sz w:val="24"/>
          <w:szCs w:val="24"/>
        </w:rPr>
        <w:t xml:space="preserve"> </w:t>
      </w:r>
    </w:p>
    <w:p w14:paraId="5FF0CDE6" w14:textId="67CF18CC" w:rsidR="002128F7" w:rsidRPr="00A46DC3" w:rsidRDefault="002128F7" w:rsidP="002128F7">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February 2000, </w:t>
      </w:r>
      <w:hyperlink r:id="rId62" w:tooltip="Times Bank" w:history="1">
        <w:r w:rsidRPr="00A46DC3">
          <w:rPr>
            <w:rStyle w:val="Hyperlink"/>
            <w:rFonts w:ascii="Times New Roman" w:hAnsi="Times New Roman" w:cs="Times New Roman"/>
            <w:color w:val="auto"/>
            <w:sz w:val="24"/>
            <w:szCs w:val="24"/>
            <w:u w:val="none"/>
          </w:rPr>
          <w:t>Times Bank</w:t>
        </w:r>
      </w:hyperlink>
      <w:r w:rsidRPr="00A46DC3">
        <w:rPr>
          <w:rFonts w:ascii="Times New Roman" w:hAnsi="Times New Roman" w:cs="Times New Roman"/>
          <w:sz w:val="24"/>
          <w:szCs w:val="24"/>
        </w:rPr>
        <w:t> merged with HDFC Bank, which was India's first-ever voluntary merger of banks.</w:t>
      </w:r>
      <w:r w:rsidR="00DE744B" w:rsidRPr="00A46DC3">
        <w:rPr>
          <w:rFonts w:ascii="Times New Roman" w:hAnsi="Times New Roman" w:cs="Times New Roman"/>
          <w:sz w:val="24"/>
          <w:szCs w:val="24"/>
        </w:rPr>
        <w:t xml:space="preserve"> </w:t>
      </w:r>
      <w:r w:rsidRPr="00A46DC3">
        <w:rPr>
          <w:rFonts w:ascii="Times New Roman" w:hAnsi="Times New Roman" w:cs="Times New Roman"/>
          <w:sz w:val="24"/>
          <w:szCs w:val="24"/>
        </w:rPr>
        <w:t>Times Bank was established by India's largest media conglomerate, </w:t>
      </w:r>
      <w:hyperlink r:id="rId63" w:tooltip="The Times Group" w:history="1">
        <w:r w:rsidRPr="00A46DC3">
          <w:rPr>
            <w:rStyle w:val="Hyperlink"/>
            <w:rFonts w:ascii="Times New Roman" w:hAnsi="Times New Roman" w:cs="Times New Roman"/>
            <w:color w:val="auto"/>
            <w:sz w:val="24"/>
            <w:szCs w:val="24"/>
            <w:u w:val="none"/>
          </w:rPr>
          <w:t>The Times Group</w:t>
        </w:r>
      </w:hyperlink>
      <w:r w:rsidRPr="00A46DC3">
        <w:rPr>
          <w:rFonts w:ascii="Times New Roman" w:hAnsi="Times New Roman" w:cs="Times New Roman"/>
          <w:sz w:val="24"/>
          <w:szCs w:val="24"/>
        </w:rPr>
        <w:t>.</w:t>
      </w:r>
      <w:r w:rsidR="00DE744B" w:rsidRPr="00A46DC3">
        <w:rPr>
          <w:rFonts w:ascii="Times New Roman" w:hAnsi="Times New Roman" w:cs="Times New Roman"/>
          <w:sz w:val="24"/>
          <w:szCs w:val="24"/>
        </w:rPr>
        <w:t xml:space="preserve"> </w:t>
      </w:r>
    </w:p>
    <w:p w14:paraId="3417CC58" w14:textId="3BF6DE42" w:rsidR="002128F7" w:rsidRPr="00A46DC3" w:rsidRDefault="002128F7" w:rsidP="002128F7">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July 2001, HDFC Bank's </w:t>
      </w:r>
      <w:hyperlink r:id="rId64" w:tooltip="American depository receipt" w:history="1">
        <w:r w:rsidRPr="00A46DC3">
          <w:rPr>
            <w:rStyle w:val="Hyperlink"/>
            <w:rFonts w:ascii="Times New Roman" w:hAnsi="Times New Roman" w:cs="Times New Roman"/>
            <w:color w:val="auto"/>
            <w:sz w:val="24"/>
            <w:szCs w:val="24"/>
            <w:u w:val="none"/>
          </w:rPr>
          <w:t>ADS</w:t>
        </w:r>
      </w:hyperlink>
      <w:r w:rsidRPr="00A46DC3">
        <w:rPr>
          <w:rFonts w:ascii="Times New Roman" w:hAnsi="Times New Roman" w:cs="Times New Roman"/>
          <w:sz w:val="24"/>
          <w:szCs w:val="24"/>
        </w:rPr>
        <w:t> listed on the </w:t>
      </w:r>
      <w:hyperlink r:id="rId65" w:tooltip="New York Stock Exchange" w:history="1">
        <w:r w:rsidRPr="00A46DC3">
          <w:rPr>
            <w:rStyle w:val="Hyperlink"/>
            <w:rFonts w:ascii="Times New Roman" w:hAnsi="Times New Roman" w:cs="Times New Roman"/>
            <w:color w:val="auto"/>
            <w:sz w:val="24"/>
            <w:szCs w:val="24"/>
            <w:u w:val="none"/>
          </w:rPr>
          <w:t>New York Stock Exchange</w:t>
        </w:r>
      </w:hyperlink>
      <w:r w:rsidRPr="00A46DC3">
        <w:rPr>
          <w:rFonts w:ascii="Times New Roman" w:hAnsi="Times New Roman" w:cs="Times New Roman"/>
          <w:sz w:val="24"/>
          <w:szCs w:val="24"/>
        </w:rPr>
        <w:t> after an IPO.</w:t>
      </w:r>
      <w:r w:rsidR="00DE744B" w:rsidRPr="00A46DC3">
        <w:rPr>
          <w:rFonts w:ascii="Times New Roman" w:hAnsi="Times New Roman" w:cs="Times New Roman"/>
          <w:sz w:val="24"/>
          <w:szCs w:val="24"/>
        </w:rPr>
        <w:t xml:space="preserve"> </w:t>
      </w:r>
    </w:p>
    <w:p w14:paraId="10071301" w14:textId="4A11E7CA" w:rsidR="002128F7" w:rsidRPr="00A46DC3" w:rsidRDefault="002128F7" w:rsidP="002128F7">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2008, HDFC Bank acquired the </w:t>
      </w:r>
      <w:hyperlink r:id="rId66" w:tooltip="Centurion Bank of Punjab" w:history="1">
        <w:r w:rsidRPr="00A46DC3">
          <w:rPr>
            <w:rStyle w:val="Hyperlink"/>
            <w:rFonts w:ascii="Times New Roman" w:hAnsi="Times New Roman" w:cs="Times New Roman"/>
            <w:color w:val="auto"/>
            <w:sz w:val="24"/>
            <w:szCs w:val="24"/>
            <w:u w:val="none"/>
          </w:rPr>
          <w:t>Centurion Bank of Punjab</w:t>
        </w:r>
      </w:hyperlink>
      <w:r w:rsidRPr="00A46DC3">
        <w:rPr>
          <w:rFonts w:ascii="Times New Roman" w:hAnsi="Times New Roman" w:cs="Times New Roman"/>
          <w:sz w:val="24"/>
          <w:szCs w:val="24"/>
        </w:rPr>
        <w:t> (CBoP) for ₹9,510 crore (US$2.19 billion) in a </w:t>
      </w:r>
      <w:hyperlink r:id="rId67" w:tooltip="Stock swap" w:history="1">
        <w:r w:rsidRPr="00A46DC3">
          <w:rPr>
            <w:rStyle w:val="Hyperlink"/>
            <w:rFonts w:ascii="Times New Roman" w:hAnsi="Times New Roman" w:cs="Times New Roman"/>
            <w:color w:val="auto"/>
            <w:sz w:val="24"/>
            <w:szCs w:val="24"/>
            <w:u w:val="none"/>
          </w:rPr>
          <w:t>share-swap</w:t>
        </w:r>
      </w:hyperlink>
      <w:r w:rsidRPr="00A46DC3">
        <w:rPr>
          <w:rFonts w:ascii="Times New Roman" w:hAnsi="Times New Roman" w:cs="Times New Roman"/>
          <w:sz w:val="24"/>
          <w:szCs w:val="24"/>
        </w:rPr>
        <w:t> deal, reportedly the largest acquisition in the Indian financial sector at the time.</w:t>
      </w:r>
      <w:r w:rsidR="00DE744B" w:rsidRPr="00A46DC3">
        <w:rPr>
          <w:rFonts w:ascii="Times New Roman" w:hAnsi="Times New Roman" w:cs="Times New Roman"/>
          <w:sz w:val="24"/>
          <w:szCs w:val="24"/>
        </w:rPr>
        <w:t xml:space="preserve"> </w:t>
      </w:r>
    </w:p>
    <w:p w14:paraId="7A70C854" w14:textId="18A28201" w:rsidR="002128F7" w:rsidRPr="00A46DC3" w:rsidRDefault="002128F7" w:rsidP="002128F7">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 2021, the bank acquired a 9.99% stake in Ferbine, an entity promoted by </w:t>
      </w:r>
      <w:hyperlink r:id="rId68" w:tooltip="Tata Group" w:history="1">
        <w:r w:rsidRPr="00A46DC3">
          <w:rPr>
            <w:rStyle w:val="Hyperlink"/>
            <w:rFonts w:ascii="Times New Roman" w:hAnsi="Times New Roman" w:cs="Times New Roman"/>
            <w:color w:val="auto"/>
            <w:sz w:val="24"/>
            <w:szCs w:val="24"/>
            <w:u w:val="none"/>
          </w:rPr>
          <w:t>Tata Group</w:t>
        </w:r>
      </w:hyperlink>
      <w:r w:rsidRPr="00A46DC3">
        <w:rPr>
          <w:rFonts w:ascii="Times New Roman" w:hAnsi="Times New Roman" w:cs="Times New Roman"/>
          <w:sz w:val="24"/>
          <w:szCs w:val="24"/>
        </w:rPr>
        <w:t>, to operate a pan-India umbrella entity for retail payment systems, similar to the </w:t>
      </w:r>
      <w:hyperlink r:id="rId69" w:tooltip="National Payments Corporation of India" w:history="1">
        <w:r w:rsidRPr="00A46DC3">
          <w:rPr>
            <w:rStyle w:val="Hyperlink"/>
            <w:rFonts w:ascii="Times New Roman" w:hAnsi="Times New Roman" w:cs="Times New Roman"/>
            <w:color w:val="auto"/>
            <w:sz w:val="24"/>
            <w:szCs w:val="24"/>
            <w:u w:val="none"/>
          </w:rPr>
          <w:t>National Payments Corporation of India</w:t>
        </w:r>
      </w:hyperlink>
      <w:r w:rsidRPr="00A46DC3">
        <w:rPr>
          <w:rFonts w:ascii="Times New Roman" w:hAnsi="Times New Roman" w:cs="Times New Roman"/>
          <w:sz w:val="24"/>
          <w:szCs w:val="24"/>
        </w:rPr>
        <w:t>.</w:t>
      </w:r>
      <w:r w:rsidR="00DE744B" w:rsidRPr="00A46DC3">
        <w:rPr>
          <w:rFonts w:ascii="Times New Roman" w:hAnsi="Times New Roman" w:cs="Times New Roman"/>
          <w:sz w:val="24"/>
          <w:szCs w:val="24"/>
        </w:rPr>
        <w:t xml:space="preserve"> </w:t>
      </w:r>
    </w:p>
    <w:p w14:paraId="25663D1C" w14:textId="575FCEAC" w:rsidR="00A94BE2" w:rsidRPr="00A46DC3" w:rsidRDefault="00A94BE2" w:rsidP="00A94BE2">
      <w:pPr>
        <w:tabs>
          <w:tab w:val="left" w:pos="5304"/>
        </w:tabs>
        <w:rPr>
          <w:rFonts w:ascii="Times New Roman" w:hAnsi="Times New Roman" w:cs="Times New Roman"/>
          <w:sz w:val="24"/>
          <w:szCs w:val="24"/>
        </w:rPr>
      </w:pPr>
      <w:r w:rsidRPr="00A46DC3">
        <w:rPr>
          <w:rFonts w:ascii="Times New Roman" w:hAnsi="Times New Roman" w:cs="Times New Roman"/>
          <w:sz w:val="24"/>
          <w:szCs w:val="24"/>
        </w:rPr>
        <w:t>On 4 April 2022, </w:t>
      </w:r>
      <w:hyperlink r:id="rId70" w:tooltip="Housing Development Finance Corporation" w:history="1">
        <w:r w:rsidRPr="00A46DC3">
          <w:rPr>
            <w:rStyle w:val="Hyperlink"/>
            <w:rFonts w:ascii="Times New Roman" w:hAnsi="Times New Roman" w:cs="Times New Roman"/>
            <w:color w:val="auto"/>
            <w:sz w:val="24"/>
            <w:szCs w:val="24"/>
            <w:u w:val="none"/>
          </w:rPr>
          <w:t>HDFC Ltd</w:t>
        </w:r>
      </w:hyperlink>
      <w:r w:rsidRPr="00A46DC3">
        <w:rPr>
          <w:rFonts w:ascii="Times New Roman" w:hAnsi="Times New Roman" w:cs="Times New Roman"/>
          <w:sz w:val="24"/>
          <w:szCs w:val="24"/>
        </w:rPr>
        <w:t> announced that it would merge with HDFC Bank, marking India's largest-ever </w:t>
      </w:r>
      <w:hyperlink r:id="rId71" w:tooltip="Mergers and acquisitions" w:history="1">
        <w:r w:rsidRPr="00A46DC3">
          <w:rPr>
            <w:rStyle w:val="Hyperlink"/>
            <w:rFonts w:ascii="Times New Roman" w:hAnsi="Times New Roman" w:cs="Times New Roman"/>
            <w:color w:val="auto"/>
            <w:sz w:val="24"/>
            <w:szCs w:val="24"/>
            <w:u w:val="none"/>
          </w:rPr>
          <w:t>M&amp;A deal</w:t>
        </w:r>
      </w:hyperlink>
      <w:r w:rsidRPr="00A46DC3">
        <w:rPr>
          <w:rFonts w:ascii="Times New Roman" w:hAnsi="Times New Roman" w:cs="Times New Roman"/>
          <w:sz w:val="24"/>
          <w:szCs w:val="24"/>
        </w:rPr>
        <w:t>. As part of the merger, HDFC Ltd would transfer its </w:t>
      </w:r>
      <w:hyperlink r:id="rId72" w:tooltip="Mortgage" w:history="1">
        <w:r w:rsidRPr="00A46DC3">
          <w:rPr>
            <w:rStyle w:val="Hyperlink"/>
            <w:rFonts w:ascii="Times New Roman" w:hAnsi="Times New Roman" w:cs="Times New Roman"/>
            <w:color w:val="auto"/>
            <w:sz w:val="24"/>
            <w:szCs w:val="24"/>
            <w:u w:val="none"/>
          </w:rPr>
          <w:t>home loan</w:t>
        </w:r>
      </w:hyperlink>
      <w:r w:rsidRPr="00A46DC3">
        <w:rPr>
          <w:rFonts w:ascii="Times New Roman" w:hAnsi="Times New Roman" w:cs="Times New Roman"/>
          <w:sz w:val="24"/>
          <w:szCs w:val="24"/>
        </w:rPr>
        <w:t> portfolio to HDFC Bank, while the bank offered depositors of HDFC Ltd the choice of either withdrawing their money or renewing their deposits with the bank at the </w:t>
      </w:r>
      <w:hyperlink r:id="rId73" w:tooltip="Interest rate" w:history="1">
        <w:r w:rsidRPr="00A46DC3">
          <w:rPr>
            <w:rStyle w:val="Hyperlink"/>
            <w:rFonts w:ascii="Times New Roman" w:hAnsi="Times New Roman" w:cs="Times New Roman"/>
            <w:color w:val="auto"/>
            <w:sz w:val="24"/>
            <w:szCs w:val="24"/>
            <w:u w:val="none"/>
          </w:rPr>
          <w:t>interest rate</w:t>
        </w:r>
      </w:hyperlink>
      <w:r w:rsidRPr="00A46DC3">
        <w:rPr>
          <w:rFonts w:ascii="Times New Roman" w:hAnsi="Times New Roman" w:cs="Times New Roman"/>
          <w:sz w:val="24"/>
          <w:szCs w:val="24"/>
        </w:rPr>
        <w:t> that the bank was then offering.</w:t>
      </w:r>
      <w:r w:rsidR="00D52AB0" w:rsidRPr="00A46DC3">
        <w:rPr>
          <w:rFonts w:ascii="Times New Roman" w:hAnsi="Times New Roman" w:cs="Times New Roman"/>
          <w:sz w:val="24"/>
          <w:szCs w:val="24"/>
        </w:rPr>
        <w:t xml:space="preserve"> </w:t>
      </w:r>
    </w:p>
    <w:p w14:paraId="5E431F0E" w14:textId="0499C45B" w:rsidR="00A94BE2" w:rsidRPr="00A46DC3" w:rsidRDefault="00A94BE2" w:rsidP="00A94BE2">
      <w:pPr>
        <w:tabs>
          <w:tab w:val="left" w:pos="5304"/>
        </w:tabs>
        <w:rPr>
          <w:rFonts w:ascii="Times New Roman" w:hAnsi="Times New Roman" w:cs="Times New Roman"/>
          <w:sz w:val="24"/>
          <w:szCs w:val="24"/>
        </w:rPr>
      </w:pPr>
      <w:r w:rsidRPr="00A46DC3">
        <w:rPr>
          <w:rFonts w:ascii="Times New Roman" w:hAnsi="Times New Roman" w:cs="Times New Roman"/>
          <w:sz w:val="24"/>
          <w:szCs w:val="24"/>
        </w:rPr>
        <w:t>On 1 July 2023, the merger of HDFC Ltd with HDFC Bank was completed. Consequently, HDFC Bank had a </w:t>
      </w:r>
      <w:hyperlink r:id="rId74" w:tooltip="Market capitalization" w:history="1">
        <w:r w:rsidRPr="00A46DC3">
          <w:rPr>
            <w:rStyle w:val="Hyperlink"/>
            <w:rFonts w:ascii="Times New Roman" w:hAnsi="Times New Roman" w:cs="Times New Roman"/>
            <w:color w:val="auto"/>
            <w:sz w:val="24"/>
            <w:szCs w:val="24"/>
            <w:u w:val="none"/>
          </w:rPr>
          <w:t>market capitalisation</w:t>
        </w:r>
      </w:hyperlink>
      <w:r w:rsidRPr="00A46DC3">
        <w:rPr>
          <w:rFonts w:ascii="Times New Roman" w:hAnsi="Times New Roman" w:cs="Times New Roman"/>
          <w:sz w:val="24"/>
          <w:szCs w:val="24"/>
        </w:rPr>
        <w:t> of $154 billion, becoming the seventh most valuable bank in the world. HDFC Bank also became one of the </w:t>
      </w:r>
      <w:hyperlink r:id="rId75" w:tooltip="List of largest banks" w:history="1">
        <w:r w:rsidRPr="00A46DC3">
          <w:rPr>
            <w:rStyle w:val="Hyperlink"/>
            <w:rFonts w:ascii="Times New Roman" w:hAnsi="Times New Roman" w:cs="Times New Roman"/>
            <w:color w:val="auto"/>
            <w:sz w:val="24"/>
            <w:szCs w:val="24"/>
            <w:u w:val="none"/>
          </w:rPr>
          <w:t>world's top 100 banking companies</w:t>
        </w:r>
      </w:hyperlink>
      <w:r w:rsidRPr="00A46DC3">
        <w:rPr>
          <w:rFonts w:ascii="Times New Roman" w:hAnsi="Times New Roman" w:cs="Times New Roman"/>
          <w:sz w:val="24"/>
          <w:szCs w:val="24"/>
        </w:rPr>
        <w:t> by total assets.</w:t>
      </w:r>
      <w:r w:rsidR="00D52AB0" w:rsidRPr="00A46DC3">
        <w:rPr>
          <w:rFonts w:ascii="Times New Roman" w:hAnsi="Times New Roman" w:cs="Times New Roman"/>
          <w:sz w:val="24"/>
          <w:szCs w:val="24"/>
        </w:rPr>
        <w:t xml:space="preserve"> </w:t>
      </w:r>
    </w:p>
    <w:p w14:paraId="500B4BA7" w14:textId="60DC921E" w:rsidR="00A94BE2" w:rsidRPr="00A46DC3" w:rsidRDefault="00A94BE2" w:rsidP="00A94BE2">
      <w:pPr>
        <w:tabs>
          <w:tab w:val="left" w:pos="5304"/>
        </w:tabs>
        <w:rPr>
          <w:rFonts w:ascii="Times New Roman" w:hAnsi="Times New Roman" w:cs="Times New Roman"/>
          <w:sz w:val="24"/>
          <w:szCs w:val="24"/>
        </w:rPr>
      </w:pPr>
      <w:r w:rsidRPr="00A46DC3">
        <w:rPr>
          <w:rFonts w:ascii="Times New Roman" w:hAnsi="Times New Roman" w:cs="Times New Roman"/>
          <w:sz w:val="24"/>
          <w:szCs w:val="24"/>
        </w:rPr>
        <w:lastRenderedPageBreak/>
        <w:t xml:space="preserve">The combined entity had a customer base of 120 million, surpassing the population of Germany in size. The merger resulted in a substantial increase in bank headcount, with the workforce </w:t>
      </w:r>
      <w:r w:rsidR="00D52AB0" w:rsidRPr="00A46DC3">
        <w:rPr>
          <w:rFonts w:ascii="Times New Roman" w:hAnsi="Times New Roman" w:cs="Times New Roman"/>
          <w:sz w:val="24"/>
          <w:szCs w:val="24"/>
        </w:rPr>
        <w:t>totalling</w:t>
      </w:r>
      <w:r w:rsidRPr="00A46DC3">
        <w:rPr>
          <w:rFonts w:ascii="Times New Roman" w:hAnsi="Times New Roman" w:cs="Times New Roman"/>
          <w:sz w:val="24"/>
          <w:szCs w:val="24"/>
        </w:rPr>
        <w:t xml:space="preserve"> 177,000 employees. The merged entity became the second-largest bank in India, trailing only the </w:t>
      </w:r>
      <w:hyperlink r:id="rId76" w:tooltip="State Bank of India" w:history="1">
        <w:r w:rsidRPr="00A46DC3">
          <w:rPr>
            <w:rStyle w:val="Hyperlink"/>
            <w:rFonts w:ascii="Times New Roman" w:hAnsi="Times New Roman" w:cs="Times New Roman"/>
            <w:color w:val="auto"/>
            <w:sz w:val="24"/>
            <w:szCs w:val="24"/>
            <w:u w:val="none"/>
          </w:rPr>
          <w:t>State Bank of India</w:t>
        </w:r>
      </w:hyperlink>
      <w:r w:rsidRPr="00A46DC3">
        <w:rPr>
          <w:rFonts w:ascii="Times New Roman" w:hAnsi="Times New Roman" w:cs="Times New Roman"/>
          <w:sz w:val="24"/>
          <w:szCs w:val="24"/>
        </w:rPr>
        <w:t> in terms of assets.</w:t>
      </w:r>
      <w:hyperlink r:id="rId77" w:anchor="cite_note-hd8-31" w:history="1">
        <w:r w:rsidRPr="00A46DC3">
          <w:rPr>
            <w:rStyle w:val="Hyperlink"/>
            <w:rFonts w:ascii="Times New Roman" w:hAnsi="Times New Roman" w:cs="Times New Roman"/>
            <w:color w:val="auto"/>
            <w:sz w:val="24"/>
            <w:szCs w:val="24"/>
            <w:u w:val="none"/>
            <w:vertAlign w:val="superscript"/>
          </w:rPr>
          <w:t>[31]</w:t>
        </w:r>
      </w:hyperlink>
      <w:r w:rsidRPr="00A46DC3">
        <w:rPr>
          <w:rFonts w:ascii="Times New Roman" w:hAnsi="Times New Roman" w:cs="Times New Roman"/>
          <w:sz w:val="24"/>
          <w:szCs w:val="24"/>
        </w:rPr>
        <w:t> The number of branches increased to 8,300.</w:t>
      </w:r>
      <w:r w:rsidR="002E12A5" w:rsidRPr="00A46DC3">
        <w:rPr>
          <w:rFonts w:ascii="Times New Roman" w:hAnsi="Times New Roman" w:cs="Times New Roman"/>
          <w:sz w:val="24"/>
          <w:szCs w:val="24"/>
        </w:rPr>
        <w:t xml:space="preserve"> </w:t>
      </w:r>
    </w:p>
    <w:p w14:paraId="5C623143" w14:textId="08762B18" w:rsidR="00A94BE2" w:rsidRPr="00A46DC3" w:rsidRDefault="00A94BE2" w:rsidP="00A94BE2">
      <w:pPr>
        <w:tabs>
          <w:tab w:val="left" w:pos="5304"/>
        </w:tabs>
        <w:rPr>
          <w:rFonts w:ascii="Times New Roman" w:hAnsi="Times New Roman" w:cs="Times New Roman"/>
          <w:sz w:val="24"/>
          <w:szCs w:val="24"/>
        </w:rPr>
      </w:pPr>
      <w:r w:rsidRPr="00A46DC3">
        <w:rPr>
          <w:rFonts w:ascii="Times New Roman" w:hAnsi="Times New Roman" w:cs="Times New Roman"/>
          <w:sz w:val="24"/>
          <w:szCs w:val="24"/>
        </w:rPr>
        <w:t>Shares of HDFC Ltd were delisted and shareholders were allotted 42 shares of HDFC Bank for every 25 shares of HDFC Ltd held,</w:t>
      </w:r>
      <w:r w:rsidR="002E12A5" w:rsidRPr="00A46DC3">
        <w:rPr>
          <w:rFonts w:ascii="Times New Roman" w:hAnsi="Times New Roman" w:cs="Times New Roman"/>
          <w:sz w:val="24"/>
          <w:szCs w:val="24"/>
        </w:rPr>
        <w:t xml:space="preserve"> </w:t>
      </w:r>
      <w:r w:rsidRPr="00A46DC3">
        <w:rPr>
          <w:rFonts w:ascii="Times New Roman" w:hAnsi="Times New Roman" w:cs="Times New Roman"/>
          <w:sz w:val="24"/>
          <w:szCs w:val="24"/>
        </w:rPr>
        <w:t>leading to an increase in the equity capital of HDFC Bank.</w:t>
      </w:r>
      <w:r w:rsidR="002E12A5" w:rsidRPr="00A46DC3">
        <w:rPr>
          <w:rFonts w:ascii="Times New Roman" w:hAnsi="Times New Roman" w:cs="Times New Roman"/>
          <w:sz w:val="24"/>
          <w:szCs w:val="24"/>
        </w:rPr>
        <w:t xml:space="preserve"> </w:t>
      </w:r>
    </w:p>
    <w:p w14:paraId="6E24EFB0" w14:textId="53784734" w:rsidR="00DE744B" w:rsidRPr="00A46DC3" w:rsidRDefault="00DE744B" w:rsidP="00DE744B">
      <w:pPr>
        <w:tabs>
          <w:tab w:val="left" w:pos="5304"/>
        </w:tabs>
        <w:rPr>
          <w:rFonts w:ascii="Times New Roman" w:hAnsi="Times New Roman" w:cs="Times New Roman"/>
          <w:sz w:val="24"/>
          <w:szCs w:val="24"/>
        </w:rPr>
      </w:pPr>
      <w:r w:rsidRPr="00A46DC3">
        <w:rPr>
          <w:rFonts w:ascii="Times New Roman" w:hAnsi="Times New Roman" w:cs="Times New Roman"/>
          <w:sz w:val="24"/>
          <w:szCs w:val="24"/>
        </w:rPr>
        <w:t>As of March 2024, HDFC Bank's distribution network included 8,735 branches and 20,938 ATMs (cash recyclers; cash deposit and withdrawal) spread throughout 3,836 cities and villages. The distribution network of HDFC Ltd., which consists of 737 locations and includes 214 offices of HDFC Sales Private Limited, has been integrated into the network of the Bank.</w:t>
      </w:r>
      <w:r w:rsidR="002E12A5" w:rsidRPr="00A46DC3">
        <w:rPr>
          <w:rFonts w:ascii="Times New Roman" w:hAnsi="Times New Roman" w:cs="Times New Roman"/>
          <w:sz w:val="24"/>
          <w:szCs w:val="24"/>
        </w:rPr>
        <w:t xml:space="preserve"> </w:t>
      </w:r>
    </w:p>
    <w:p w14:paraId="1A0C3790" w14:textId="54985F8A" w:rsidR="00DE744B" w:rsidRPr="00A46DC3" w:rsidRDefault="00DE744B" w:rsidP="00DE744B">
      <w:pPr>
        <w:tabs>
          <w:tab w:val="left" w:pos="5304"/>
        </w:tabs>
        <w:rPr>
          <w:rFonts w:ascii="Times New Roman" w:hAnsi="Times New Roman" w:cs="Times New Roman"/>
          <w:sz w:val="24"/>
          <w:szCs w:val="24"/>
        </w:rPr>
      </w:pPr>
      <w:r w:rsidRPr="00A46DC3">
        <w:rPr>
          <w:rFonts w:ascii="Times New Roman" w:hAnsi="Times New Roman" w:cs="Times New Roman"/>
          <w:sz w:val="24"/>
          <w:szCs w:val="24"/>
        </w:rPr>
        <w:t>HDFC Bank is the sole private bank operating in the union territory of </w:t>
      </w:r>
      <w:hyperlink r:id="rId78" w:tooltip="Lakshadweep" w:history="1">
        <w:r w:rsidRPr="00A46DC3">
          <w:rPr>
            <w:rStyle w:val="Hyperlink"/>
            <w:rFonts w:ascii="Times New Roman" w:hAnsi="Times New Roman" w:cs="Times New Roman"/>
            <w:color w:val="auto"/>
            <w:sz w:val="24"/>
            <w:szCs w:val="24"/>
            <w:u w:val="none"/>
          </w:rPr>
          <w:t>Lakshadweep</w:t>
        </w:r>
      </w:hyperlink>
      <w:r w:rsidRPr="00A46DC3">
        <w:rPr>
          <w:rFonts w:ascii="Times New Roman" w:hAnsi="Times New Roman" w:cs="Times New Roman"/>
          <w:sz w:val="24"/>
          <w:szCs w:val="24"/>
        </w:rPr>
        <w:t> after opening a branch in </w:t>
      </w:r>
      <w:hyperlink r:id="rId79" w:tooltip="Kavaratti" w:history="1">
        <w:r w:rsidRPr="00A46DC3">
          <w:rPr>
            <w:rStyle w:val="Hyperlink"/>
            <w:rFonts w:ascii="Times New Roman" w:hAnsi="Times New Roman" w:cs="Times New Roman"/>
            <w:color w:val="auto"/>
            <w:sz w:val="24"/>
            <w:szCs w:val="24"/>
            <w:u w:val="none"/>
          </w:rPr>
          <w:t>Kavaratti</w:t>
        </w:r>
      </w:hyperlink>
      <w:r w:rsidRPr="00A46DC3">
        <w:rPr>
          <w:rFonts w:ascii="Times New Roman" w:hAnsi="Times New Roman" w:cs="Times New Roman"/>
          <w:sz w:val="24"/>
          <w:szCs w:val="24"/>
        </w:rPr>
        <w:t> island.</w:t>
      </w:r>
      <w:r w:rsidR="002E12A5" w:rsidRPr="00A46DC3">
        <w:rPr>
          <w:rFonts w:ascii="Times New Roman" w:hAnsi="Times New Roman" w:cs="Times New Roman"/>
          <w:sz w:val="24"/>
          <w:szCs w:val="24"/>
        </w:rPr>
        <w:t xml:space="preserve"> </w:t>
      </w:r>
    </w:p>
    <w:p w14:paraId="64EE24B6" w14:textId="77777777" w:rsidR="002128F7" w:rsidRPr="00A46DC3" w:rsidRDefault="002128F7" w:rsidP="00146291">
      <w:pPr>
        <w:tabs>
          <w:tab w:val="left" w:pos="5304"/>
        </w:tabs>
        <w:rPr>
          <w:rFonts w:ascii="Times New Roman" w:hAnsi="Times New Roman" w:cs="Times New Roman"/>
          <w:sz w:val="24"/>
          <w:szCs w:val="24"/>
        </w:rPr>
      </w:pPr>
    </w:p>
    <w:p w14:paraId="2C8D8C92" w14:textId="77777777" w:rsidR="00146291" w:rsidRPr="00A46DC3" w:rsidRDefault="00146291" w:rsidP="00146291">
      <w:pPr>
        <w:tabs>
          <w:tab w:val="left" w:pos="5304"/>
        </w:tabs>
        <w:rPr>
          <w:rFonts w:ascii="Times New Roman" w:hAnsi="Times New Roman" w:cs="Times New Roman"/>
          <w:sz w:val="24"/>
          <w:szCs w:val="24"/>
        </w:rPr>
      </w:pPr>
    </w:p>
    <w:p w14:paraId="02189DB2" w14:textId="77777777" w:rsidR="00E719B0" w:rsidRPr="00A46DC3" w:rsidRDefault="00E719B0" w:rsidP="00E719B0">
      <w:pPr>
        <w:tabs>
          <w:tab w:val="left" w:pos="5304"/>
        </w:tabs>
        <w:rPr>
          <w:rFonts w:ascii="Times New Roman" w:hAnsi="Times New Roman" w:cs="Times New Roman"/>
          <w:sz w:val="24"/>
          <w:szCs w:val="24"/>
        </w:rPr>
      </w:pPr>
    </w:p>
    <w:p w14:paraId="62F3D9AD" w14:textId="77777777" w:rsidR="00900853" w:rsidRPr="00A46DC3" w:rsidRDefault="00900853" w:rsidP="00304918">
      <w:pPr>
        <w:tabs>
          <w:tab w:val="left" w:pos="5304"/>
        </w:tabs>
        <w:rPr>
          <w:rFonts w:ascii="Times New Roman" w:hAnsi="Times New Roman" w:cs="Times New Roman"/>
          <w:sz w:val="24"/>
          <w:szCs w:val="24"/>
        </w:rPr>
      </w:pPr>
    </w:p>
    <w:p w14:paraId="1D894FB3" w14:textId="77777777" w:rsidR="007E6EB3" w:rsidRPr="00A46DC3" w:rsidRDefault="007E6EB3" w:rsidP="000C70C1">
      <w:pPr>
        <w:tabs>
          <w:tab w:val="left" w:pos="5304"/>
        </w:tabs>
        <w:rPr>
          <w:rFonts w:ascii="Times New Roman" w:hAnsi="Times New Roman" w:cs="Times New Roman"/>
          <w:b/>
          <w:bCs/>
          <w:sz w:val="24"/>
          <w:szCs w:val="24"/>
        </w:rPr>
      </w:pPr>
    </w:p>
    <w:p w14:paraId="634D8C53" w14:textId="77777777" w:rsidR="00A26728" w:rsidRPr="00A46DC3" w:rsidRDefault="00A26728" w:rsidP="000C70C1">
      <w:pPr>
        <w:tabs>
          <w:tab w:val="left" w:pos="5304"/>
        </w:tabs>
        <w:rPr>
          <w:rFonts w:ascii="Times New Roman" w:hAnsi="Times New Roman" w:cs="Times New Roman"/>
          <w:sz w:val="24"/>
          <w:szCs w:val="24"/>
        </w:rPr>
      </w:pPr>
    </w:p>
    <w:p w14:paraId="615D4899" w14:textId="77777777" w:rsidR="00A26728" w:rsidRPr="00A46DC3" w:rsidRDefault="00A26728" w:rsidP="000C70C1">
      <w:pPr>
        <w:tabs>
          <w:tab w:val="left" w:pos="5304"/>
        </w:tabs>
        <w:rPr>
          <w:rFonts w:ascii="Times New Roman" w:hAnsi="Times New Roman" w:cs="Times New Roman"/>
          <w:sz w:val="24"/>
          <w:szCs w:val="24"/>
        </w:rPr>
      </w:pPr>
    </w:p>
    <w:p w14:paraId="515079C8" w14:textId="77777777" w:rsidR="00A26728" w:rsidRPr="00A46DC3" w:rsidRDefault="00A26728" w:rsidP="000C70C1">
      <w:pPr>
        <w:tabs>
          <w:tab w:val="left" w:pos="5304"/>
        </w:tabs>
        <w:rPr>
          <w:rFonts w:ascii="Times New Roman" w:hAnsi="Times New Roman" w:cs="Times New Roman"/>
          <w:sz w:val="24"/>
          <w:szCs w:val="24"/>
        </w:rPr>
      </w:pPr>
    </w:p>
    <w:p w14:paraId="5F0791AB" w14:textId="77777777" w:rsidR="00A26728" w:rsidRPr="00A46DC3" w:rsidRDefault="00A26728" w:rsidP="000C70C1">
      <w:pPr>
        <w:tabs>
          <w:tab w:val="left" w:pos="5304"/>
        </w:tabs>
        <w:rPr>
          <w:rFonts w:ascii="Times New Roman" w:hAnsi="Times New Roman" w:cs="Times New Roman"/>
          <w:sz w:val="24"/>
          <w:szCs w:val="24"/>
        </w:rPr>
      </w:pPr>
    </w:p>
    <w:p w14:paraId="462B15A6" w14:textId="77777777" w:rsidR="00A26728" w:rsidRPr="00A46DC3" w:rsidRDefault="00A26728" w:rsidP="00841969">
      <w:pPr>
        <w:tabs>
          <w:tab w:val="left" w:pos="5304"/>
        </w:tabs>
        <w:rPr>
          <w:rFonts w:ascii="Times New Roman" w:hAnsi="Times New Roman" w:cs="Times New Roman"/>
          <w:sz w:val="24"/>
          <w:szCs w:val="24"/>
        </w:rPr>
      </w:pPr>
    </w:p>
    <w:p w14:paraId="78BF0378" w14:textId="77777777" w:rsidR="00841969" w:rsidRPr="00A46DC3" w:rsidRDefault="00841969" w:rsidP="00841969">
      <w:pPr>
        <w:tabs>
          <w:tab w:val="left" w:pos="5304"/>
        </w:tabs>
        <w:rPr>
          <w:rFonts w:ascii="Times New Roman" w:hAnsi="Times New Roman" w:cs="Times New Roman"/>
          <w:sz w:val="24"/>
          <w:szCs w:val="24"/>
        </w:rPr>
      </w:pPr>
    </w:p>
    <w:p w14:paraId="258EAB65" w14:textId="77777777" w:rsidR="00A26728" w:rsidRPr="00A46DC3" w:rsidRDefault="00A26728" w:rsidP="00A26728">
      <w:pPr>
        <w:tabs>
          <w:tab w:val="left" w:pos="5304"/>
        </w:tabs>
        <w:jc w:val="center"/>
        <w:rPr>
          <w:rFonts w:ascii="Times New Roman" w:hAnsi="Times New Roman" w:cs="Times New Roman"/>
          <w:sz w:val="24"/>
          <w:szCs w:val="24"/>
        </w:rPr>
      </w:pPr>
    </w:p>
    <w:p w14:paraId="72C9B188" w14:textId="77777777" w:rsidR="00A26728" w:rsidRPr="00A46DC3" w:rsidRDefault="00A26728" w:rsidP="00A26728">
      <w:pPr>
        <w:tabs>
          <w:tab w:val="left" w:pos="5304"/>
        </w:tabs>
        <w:jc w:val="center"/>
        <w:rPr>
          <w:rFonts w:ascii="Times New Roman" w:hAnsi="Times New Roman" w:cs="Times New Roman"/>
          <w:sz w:val="24"/>
          <w:szCs w:val="24"/>
        </w:rPr>
      </w:pPr>
    </w:p>
    <w:p w14:paraId="7EC2CAB7" w14:textId="00B1FB9A" w:rsidR="00A26728" w:rsidRPr="00A46DC3" w:rsidRDefault="00A26728" w:rsidP="00A26728">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CHAPTER 4: DATA ANALYSIS AND</w:t>
      </w:r>
      <w:r w:rsidR="00991EF9" w:rsidRPr="00A46DC3">
        <w:rPr>
          <w:rFonts w:ascii="Times New Roman" w:hAnsi="Times New Roman" w:cs="Times New Roman"/>
          <w:b/>
          <w:bCs/>
          <w:sz w:val="24"/>
          <w:szCs w:val="24"/>
        </w:rPr>
        <w:t xml:space="preserve"> INTERPRETATION</w:t>
      </w:r>
    </w:p>
    <w:p w14:paraId="7AA59914" w14:textId="77777777" w:rsidR="00991EF9" w:rsidRPr="00A46DC3" w:rsidRDefault="00991EF9" w:rsidP="00A26728">
      <w:pPr>
        <w:tabs>
          <w:tab w:val="left" w:pos="5304"/>
        </w:tabs>
        <w:jc w:val="center"/>
        <w:rPr>
          <w:rFonts w:ascii="Times New Roman" w:hAnsi="Times New Roman" w:cs="Times New Roman"/>
          <w:b/>
          <w:bCs/>
          <w:sz w:val="24"/>
          <w:szCs w:val="24"/>
        </w:rPr>
      </w:pPr>
    </w:p>
    <w:p w14:paraId="01BA7443" w14:textId="77777777" w:rsidR="00991EF9" w:rsidRPr="00A46DC3" w:rsidRDefault="00991EF9" w:rsidP="00A26728">
      <w:pPr>
        <w:tabs>
          <w:tab w:val="left" w:pos="5304"/>
        </w:tabs>
        <w:jc w:val="center"/>
        <w:rPr>
          <w:rFonts w:ascii="Times New Roman" w:hAnsi="Times New Roman" w:cs="Times New Roman"/>
          <w:b/>
          <w:bCs/>
          <w:sz w:val="24"/>
          <w:szCs w:val="24"/>
        </w:rPr>
      </w:pPr>
    </w:p>
    <w:p w14:paraId="6285B517" w14:textId="77777777" w:rsidR="00991EF9" w:rsidRPr="00A46DC3" w:rsidRDefault="00991EF9" w:rsidP="00A26728">
      <w:pPr>
        <w:tabs>
          <w:tab w:val="left" w:pos="5304"/>
        </w:tabs>
        <w:jc w:val="center"/>
        <w:rPr>
          <w:rFonts w:ascii="Times New Roman" w:hAnsi="Times New Roman" w:cs="Times New Roman"/>
          <w:b/>
          <w:bCs/>
          <w:sz w:val="24"/>
          <w:szCs w:val="24"/>
        </w:rPr>
      </w:pPr>
    </w:p>
    <w:p w14:paraId="780C4706" w14:textId="77777777" w:rsidR="00991EF9" w:rsidRPr="00A46DC3" w:rsidRDefault="00991EF9" w:rsidP="00A26728">
      <w:pPr>
        <w:tabs>
          <w:tab w:val="left" w:pos="5304"/>
        </w:tabs>
        <w:jc w:val="center"/>
        <w:rPr>
          <w:rFonts w:ascii="Times New Roman" w:hAnsi="Times New Roman" w:cs="Times New Roman"/>
          <w:b/>
          <w:bCs/>
          <w:sz w:val="24"/>
          <w:szCs w:val="24"/>
        </w:rPr>
      </w:pPr>
    </w:p>
    <w:p w14:paraId="4763F07D" w14:textId="77777777" w:rsidR="00991EF9" w:rsidRPr="00A46DC3" w:rsidRDefault="00991EF9" w:rsidP="00A26728">
      <w:pPr>
        <w:tabs>
          <w:tab w:val="left" w:pos="5304"/>
        </w:tabs>
        <w:jc w:val="center"/>
        <w:rPr>
          <w:rFonts w:ascii="Times New Roman" w:hAnsi="Times New Roman" w:cs="Times New Roman"/>
          <w:b/>
          <w:bCs/>
          <w:sz w:val="24"/>
          <w:szCs w:val="24"/>
        </w:rPr>
      </w:pPr>
    </w:p>
    <w:p w14:paraId="0E5FF6E1" w14:textId="77777777" w:rsidR="00991EF9" w:rsidRPr="00A46DC3" w:rsidRDefault="00991EF9" w:rsidP="00A26728">
      <w:pPr>
        <w:tabs>
          <w:tab w:val="left" w:pos="5304"/>
        </w:tabs>
        <w:jc w:val="center"/>
        <w:rPr>
          <w:rFonts w:ascii="Times New Roman" w:hAnsi="Times New Roman" w:cs="Times New Roman"/>
          <w:b/>
          <w:bCs/>
          <w:sz w:val="24"/>
          <w:szCs w:val="24"/>
        </w:rPr>
      </w:pPr>
    </w:p>
    <w:p w14:paraId="0A14FCCE" w14:textId="77777777" w:rsidR="00991EF9" w:rsidRPr="00A46DC3" w:rsidRDefault="00991EF9" w:rsidP="00A26728">
      <w:pPr>
        <w:tabs>
          <w:tab w:val="left" w:pos="5304"/>
        </w:tabs>
        <w:jc w:val="center"/>
        <w:rPr>
          <w:rFonts w:ascii="Times New Roman" w:hAnsi="Times New Roman" w:cs="Times New Roman"/>
          <w:b/>
          <w:bCs/>
          <w:sz w:val="24"/>
          <w:szCs w:val="24"/>
        </w:rPr>
      </w:pPr>
    </w:p>
    <w:p w14:paraId="5CB764E6" w14:textId="77777777" w:rsidR="00991EF9" w:rsidRPr="00A46DC3" w:rsidRDefault="00991EF9" w:rsidP="00A26728">
      <w:pPr>
        <w:tabs>
          <w:tab w:val="left" w:pos="5304"/>
        </w:tabs>
        <w:jc w:val="center"/>
        <w:rPr>
          <w:rFonts w:ascii="Times New Roman" w:hAnsi="Times New Roman" w:cs="Times New Roman"/>
          <w:b/>
          <w:bCs/>
          <w:sz w:val="24"/>
          <w:szCs w:val="24"/>
        </w:rPr>
      </w:pPr>
    </w:p>
    <w:p w14:paraId="508829D1" w14:textId="77777777" w:rsidR="00991EF9" w:rsidRPr="00A46DC3" w:rsidRDefault="00991EF9" w:rsidP="00A26728">
      <w:pPr>
        <w:tabs>
          <w:tab w:val="left" w:pos="5304"/>
        </w:tabs>
        <w:jc w:val="center"/>
        <w:rPr>
          <w:rFonts w:ascii="Times New Roman" w:hAnsi="Times New Roman" w:cs="Times New Roman"/>
          <w:b/>
          <w:bCs/>
          <w:sz w:val="24"/>
          <w:szCs w:val="24"/>
        </w:rPr>
      </w:pPr>
    </w:p>
    <w:p w14:paraId="616330C3" w14:textId="77777777" w:rsidR="00991EF9" w:rsidRPr="00A46DC3" w:rsidRDefault="00991EF9" w:rsidP="00A26728">
      <w:pPr>
        <w:tabs>
          <w:tab w:val="left" w:pos="5304"/>
        </w:tabs>
        <w:jc w:val="center"/>
        <w:rPr>
          <w:rFonts w:ascii="Times New Roman" w:hAnsi="Times New Roman" w:cs="Times New Roman"/>
          <w:b/>
          <w:bCs/>
          <w:sz w:val="24"/>
          <w:szCs w:val="24"/>
        </w:rPr>
      </w:pPr>
    </w:p>
    <w:p w14:paraId="3E45E704" w14:textId="77777777" w:rsidR="00991EF9" w:rsidRPr="00A46DC3" w:rsidRDefault="00991EF9" w:rsidP="00A26728">
      <w:pPr>
        <w:tabs>
          <w:tab w:val="left" w:pos="5304"/>
        </w:tabs>
        <w:jc w:val="center"/>
        <w:rPr>
          <w:rFonts w:ascii="Times New Roman" w:hAnsi="Times New Roman" w:cs="Times New Roman"/>
          <w:b/>
          <w:bCs/>
          <w:sz w:val="24"/>
          <w:szCs w:val="24"/>
        </w:rPr>
      </w:pPr>
    </w:p>
    <w:p w14:paraId="45131098" w14:textId="77777777" w:rsidR="00991EF9" w:rsidRPr="00A46DC3" w:rsidRDefault="00991EF9" w:rsidP="00A26728">
      <w:pPr>
        <w:tabs>
          <w:tab w:val="left" w:pos="5304"/>
        </w:tabs>
        <w:jc w:val="center"/>
        <w:rPr>
          <w:rFonts w:ascii="Times New Roman" w:hAnsi="Times New Roman" w:cs="Times New Roman"/>
          <w:b/>
          <w:bCs/>
          <w:sz w:val="24"/>
          <w:szCs w:val="24"/>
        </w:rPr>
      </w:pPr>
    </w:p>
    <w:p w14:paraId="7F8B9FAB" w14:textId="77777777" w:rsidR="00991EF9" w:rsidRPr="00A46DC3" w:rsidRDefault="00991EF9" w:rsidP="00A26728">
      <w:pPr>
        <w:tabs>
          <w:tab w:val="left" w:pos="5304"/>
        </w:tabs>
        <w:jc w:val="center"/>
        <w:rPr>
          <w:rFonts w:ascii="Times New Roman" w:hAnsi="Times New Roman" w:cs="Times New Roman"/>
          <w:b/>
          <w:bCs/>
          <w:sz w:val="24"/>
          <w:szCs w:val="24"/>
        </w:rPr>
      </w:pPr>
    </w:p>
    <w:p w14:paraId="0F7C668A" w14:textId="77777777" w:rsidR="00991EF9" w:rsidRPr="00A46DC3" w:rsidRDefault="00991EF9" w:rsidP="00A26728">
      <w:pPr>
        <w:tabs>
          <w:tab w:val="left" w:pos="5304"/>
        </w:tabs>
        <w:jc w:val="center"/>
        <w:rPr>
          <w:rFonts w:ascii="Times New Roman" w:hAnsi="Times New Roman" w:cs="Times New Roman"/>
          <w:b/>
          <w:bCs/>
          <w:sz w:val="24"/>
          <w:szCs w:val="24"/>
        </w:rPr>
      </w:pPr>
    </w:p>
    <w:p w14:paraId="0428EAE9" w14:textId="77777777" w:rsidR="00991EF9" w:rsidRPr="00A46DC3" w:rsidRDefault="00991EF9" w:rsidP="00A26728">
      <w:pPr>
        <w:tabs>
          <w:tab w:val="left" w:pos="5304"/>
        </w:tabs>
        <w:jc w:val="center"/>
        <w:rPr>
          <w:rFonts w:ascii="Times New Roman" w:hAnsi="Times New Roman" w:cs="Times New Roman"/>
          <w:b/>
          <w:bCs/>
          <w:sz w:val="24"/>
          <w:szCs w:val="24"/>
        </w:rPr>
      </w:pPr>
    </w:p>
    <w:p w14:paraId="4A2924C0" w14:textId="437A3B56" w:rsidR="00924A1A" w:rsidRPr="00A46DC3" w:rsidRDefault="001472C8" w:rsidP="00687DEB">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FEDERAL BANK</w:t>
      </w:r>
    </w:p>
    <w:p w14:paraId="1CCEB8C1" w14:textId="77777777" w:rsidR="00924A1A" w:rsidRPr="00A46DC3" w:rsidRDefault="00924A1A" w:rsidP="001472C8">
      <w:pPr>
        <w:tabs>
          <w:tab w:val="left" w:pos="5304"/>
        </w:tabs>
        <w:jc w:val="center"/>
        <w:rPr>
          <w:rFonts w:ascii="Times New Roman" w:hAnsi="Times New Roman" w:cs="Times New Roman"/>
          <w:b/>
          <w:bCs/>
          <w:sz w:val="24"/>
          <w:szCs w:val="24"/>
        </w:rPr>
      </w:pPr>
    </w:p>
    <w:p w14:paraId="2CFC96C4" w14:textId="138958E6" w:rsidR="00924A1A" w:rsidRPr="00A46DC3" w:rsidRDefault="006C57CA" w:rsidP="00687DEB">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4.1. </w:t>
      </w:r>
      <w:r w:rsidR="0071097A" w:rsidRPr="00A46DC3">
        <w:rPr>
          <w:rFonts w:ascii="Times New Roman" w:hAnsi="Times New Roman" w:cs="Times New Roman"/>
          <w:b/>
          <w:bCs/>
          <w:sz w:val="24"/>
          <w:szCs w:val="24"/>
        </w:rPr>
        <w:t>Calculation of NPA ratio:</w:t>
      </w:r>
    </w:p>
    <w:p w14:paraId="0F13A7C3" w14:textId="302D73A8" w:rsidR="00924A1A" w:rsidRPr="00A46DC3" w:rsidRDefault="00924A1A" w:rsidP="00687DEB">
      <w:pPr>
        <w:pStyle w:val="ListParagraph"/>
        <w:numPr>
          <w:ilvl w:val="0"/>
          <w:numId w:val="32"/>
        </w:num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Gross NPA Ratio = (Gross NPA/ Total Advances) *100</w:t>
      </w:r>
    </w:p>
    <w:p w14:paraId="06060D65" w14:textId="3300FBFD" w:rsidR="00924A1A" w:rsidRPr="00A46DC3" w:rsidRDefault="00924A1A" w:rsidP="00924A1A">
      <w:pPr>
        <w:pStyle w:val="ListParagraph"/>
        <w:numPr>
          <w:ilvl w:val="0"/>
          <w:numId w:val="32"/>
        </w:num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Net NPA Ratio = (Net NPA/ Total Advances) *100</w:t>
      </w:r>
    </w:p>
    <w:p w14:paraId="2D9B0FFC" w14:textId="77777777" w:rsidR="00924A1A" w:rsidRPr="00A46DC3" w:rsidRDefault="00924A1A" w:rsidP="00991EF9">
      <w:pPr>
        <w:tabs>
          <w:tab w:val="left" w:pos="5304"/>
        </w:tabs>
        <w:rPr>
          <w:rFonts w:ascii="Times New Roman" w:hAnsi="Times New Roman" w:cs="Times New Roman"/>
          <w:b/>
          <w:bCs/>
          <w:sz w:val="24"/>
          <w:szCs w:val="24"/>
        </w:rPr>
      </w:pPr>
    </w:p>
    <w:p w14:paraId="0F0B1F30" w14:textId="15E7E0B3" w:rsidR="0071097A" w:rsidRPr="00A46DC3" w:rsidRDefault="003B4A48" w:rsidP="00991EF9">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AA4E30" w:rsidRPr="00A46DC3">
        <w:rPr>
          <w:rFonts w:ascii="Times New Roman" w:hAnsi="Times New Roman" w:cs="Times New Roman"/>
          <w:b/>
          <w:bCs/>
          <w:sz w:val="24"/>
          <w:szCs w:val="24"/>
        </w:rPr>
        <w:t>1: Showing the Net NPA</w:t>
      </w:r>
      <w:r w:rsidR="00D60E8E" w:rsidRPr="00A46DC3">
        <w:rPr>
          <w:rFonts w:ascii="Times New Roman" w:hAnsi="Times New Roman" w:cs="Times New Roman"/>
          <w:b/>
          <w:bCs/>
          <w:sz w:val="24"/>
          <w:szCs w:val="24"/>
        </w:rPr>
        <w:t xml:space="preserve"> </w:t>
      </w:r>
      <w:r w:rsidR="0071097A" w:rsidRPr="00A46DC3">
        <w:rPr>
          <w:rFonts w:ascii="Times New Roman" w:hAnsi="Times New Roman" w:cs="Times New Roman"/>
          <w:b/>
          <w:bCs/>
          <w:sz w:val="24"/>
          <w:szCs w:val="24"/>
        </w:rPr>
        <w:t xml:space="preserve">Ratio </w:t>
      </w:r>
      <w:r w:rsidR="00D60E8E" w:rsidRPr="00A46DC3">
        <w:rPr>
          <w:rFonts w:ascii="Times New Roman" w:hAnsi="Times New Roman" w:cs="Times New Roman"/>
          <w:b/>
          <w:bCs/>
          <w:sz w:val="24"/>
          <w:szCs w:val="24"/>
        </w:rPr>
        <w:t>of Federal Bank</w:t>
      </w:r>
      <w:r w:rsidR="00A55871" w:rsidRPr="00A46DC3">
        <w:rPr>
          <w:rFonts w:ascii="Times New Roman" w:hAnsi="Times New Roman" w:cs="Times New Roman"/>
          <w:b/>
          <w:bCs/>
          <w:sz w:val="24"/>
          <w:szCs w:val="24"/>
        </w:rPr>
        <w:t xml:space="preserve"> (Rs. </w:t>
      </w:r>
      <w:r w:rsidR="002D48D2" w:rsidRPr="00A46DC3">
        <w:rPr>
          <w:rFonts w:ascii="Times New Roman" w:hAnsi="Times New Roman" w:cs="Times New Roman"/>
          <w:b/>
          <w:bCs/>
          <w:sz w:val="24"/>
          <w:szCs w:val="24"/>
        </w:rPr>
        <w:t>i</w:t>
      </w:r>
      <w:r w:rsidR="00A55871" w:rsidRPr="00A46DC3">
        <w:rPr>
          <w:rFonts w:ascii="Times New Roman" w:hAnsi="Times New Roman" w:cs="Times New Roman"/>
          <w:b/>
          <w:bCs/>
          <w:sz w:val="24"/>
          <w:szCs w:val="24"/>
        </w:rPr>
        <w:t>n cr)</w:t>
      </w:r>
    </w:p>
    <w:tbl>
      <w:tblPr>
        <w:tblW w:w="5221" w:type="dxa"/>
        <w:tblInd w:w="113" w:type="dxa"/>
        <w:tblLook w:val="04A0" w:firstRow="1" w:lastRow="0" w:firstColumn="1" w:lastColumn="0" w:noHBand="0" w:noVBand="1"/>
      </w:tblPr>
      <w:tblGrid>
        <w:gridCol w:w="1001"/>
        <w:gridCol w:w="1445"/>
        <w:gridCol w:w="1475"/>
        <w:gridCol w:w="1300"/>
      </w:tblGrid>
      <w:tr w:rsidR="0071097A" w:rsidRPr="00A46DC3" w14:paraId="2DAE3154" w14:textId="77777777" w:rsidTr="0071097A">
        <w:trPr>
          <w:trHeight w:val="97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0924F"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eastAsia="en-IN"/>
                <w14:ligatures w14:val="none"/>
              </w:rPr>
              <w:t>YEAR</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7FF9A93A"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eastAsia="en-IN"/>
                <w14:ligatures w14:val="none"/>
              </w:rPr>
              <w:t>NET NPA</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27DE0FAE"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val="en-IN" w:eastAsia="en-IN"/>
                <w14:ligatures w14:val="none"/>
              </w:rPr>
              <w:t>Total Advances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D0C5890"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val="en-IN" w:eastAsia="en-IN"/>
                <w14:ligatures w14:val="none"/>
              </w:rPr>
              <w:t>NET NPA RATIO (%)</w:t>
            </w:r>
          </w:p>
        </w:tc>
      </w:tr>
      <w:tr w:rsidR="0071097A" w:rsidRPr="00A46DC3" w14:paraId="2EB8EA38" w14:textId="77777777" w:rsidTr="0071097A">
        <w:trPr>
          <w:trHeight w:val="34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0EA73305"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1445" w:type="dxa"/>
            <w:tcBorders>
              <w:top w:val="nil"/>
              <w:left w:val="nil"/>
              <w:bottom w:val="single" w:sz="4" w:space="0" w:color="auto"/>
              <w:right w:val="single" w:sz="4" w:space="0" w:color="auto"/>
            </w:tcBorders>
            <w:shd w:val="clear" w:color="auto" w:fill="auto"/>
            <w:vAlign w:val="center"/>
            <w:hideMark/>
          </w:tcPr>
          <w:p w14:paraId="3F5CEF9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1,607.17</w:t>
            </w:r>
          </w:p>
        </w:tc>
        <w:tc>
          <w:tcPr>
            <w:tcW w:w="1475" w:type="dxa"/>
            <w:tcBorders>
              <w:top w:val="nil"/>
              <w:left w:val="nil"/>
              <w:bottom w:val="single" w:sz="4" w:space="0" w:color="auto"/>
              <w:right w:val="single" w:sz="4" w:space="0" w:color="auto"/>
            </w:tcBorders>
            <w:shd w:val="clear" w:color="auto" w:fill="auto"/>
            <w:noWrap/>
            <w:vAlign w:val="bottom"/>
            <w:hideMark/>
          </w:tcPr>
          <w:p w14:paraId="6B5FD369"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1,12,205</w:t>
            </w:r>
          </w:p>
        </w:tc>
        <w:tc>
          <w:tcPr>
            <w:tcW w:w="1300" w:type="dxa"/>
            <w:tcBorders>
              <w:top w:val="nil"/>
              <w:left w:val="nil"/>
              <w:bottom w:val="single" w:sz="4" w:space="0" w:color="auto"/>
              <w:right w:val="single" w:sz="4" w:space="0" w:color="auto"/>
            </w:tcBorders>
            <w:shd w:val="clear" w:color="auto" w:fill="auto"/>
            <w:noWrap/>
            <w:vAlign w:val="bottom"/>
            <w:hideMark/>
          </w:tcPr>
          <w:p w14:paraId="563E4A65"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1.43</w:t>
            </w:r>
          </w:p>
        </w:tc>
      </w:tr>
      <w:tr w:rsidR="0071097A" w:rsidRPr="00A46DC3" w14:paraId="48AE9E64" w14:textId="77777777" w:rsidTr="0071097A">
        <w:trPr>
          <w:trHeight w:val="34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06FE44E8"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1445" w:type="dxa"/>
            <w:tcBorders>
              <w:top w:val="nil"/>
              <w:left w:val="nil"/>
              <w:bottom w:val="single" w:sz="4" w:space="0" w:color="auto"/>
              <w:right w:val="single" w:sz="4" w:space="0" w:color="auto"/>
            </w:tcBorders>
            <w:shd w:val="clear" w:color="auto" w:fill="auto"/>
            <w:vAlign w:val="center"/>
            <w:hideMark/>
          </w:tcPr>
          <w:p w14:paraId="63A63499"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1,569.28</w:t>
            </w:r>
          </w:p>
        </w:tc>
        <w:tc>
          <w:tcPr>
            <w:tcW w:w="1475" w:type="dxa"/>
            <w:tcBorders>
              <w:top w:val="nil"/>
              <w:left w:val="nil"/>
              <w:bottom w:val="single" w:sz="4" w:space="0" w:color="auto"/>
              <w:right w:val="single" w:sz="4" w:space="0" w:color="auto"/>
            </w:tcBorders>
            <w:shd w:val="clear" w:color="auto" w:fill="auto"/>
            <w:noWrap/>
            <w:vAlign w:val="bottom"/>
            <w:hideMark/>
          </w:tcPr>
          <w:p w14:paraId="7A3CB3E2"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1,23,793</w:t>
            </w:r>
          </w:p>
        </w:tc>
        <w:tc>
          <w:tcPr>
            <w:tcW w:w="1300" w:type="dxa"/>
            <w:tcBorders>
              <w:top w:val="nil"/>
              <w:left w:val="nil"/>
              <w:bottom w:val="single" w:sz="4" w:space="0" w:color="auto"/>
              <w:right w:val="single" w:sz="4" w:space="0" w:color="auto"/>
            </w:tcBorders>
            <w:shd w:val="clear" w:color="auto" w:fill="auto"/>
            <w:noWrap/>
            <w:vAlign w:val="bottom"/>
            <w:hideMark/>
          </w:tcPr>
          <w:p w14:paraId="05CDF14C"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1.27</w:t>
            </w:r>
          </w:p>
        </w:tc>
      </w:tr>
      <w:tr w:rsidR="0071097A" w:rsidRPr="00A46DC3" w14:paraId="746B7251" w14:textId="77777777" w:rsidTr="0071097A">
        <w:trPr>
          <w:trHeight w:val="34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6DFF3B7E"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1445" w:type="dxa"/>
            <w:tcBorders>
              <w:top w:val="nil"/>
              <w:left w:val="nil"/>
              <w:bottom w:val="single" w:sz="4" w:space="0" w:color="auto"/>
              <w:right w:val="single" w:sz="4" w:space="0" w:color="auto"/>
            </w:tcBorders>
            <w:shd w:val="clear" w:color="auto" w:fill="auto"/>
            <w:vAlign w:val="center"/>
            <w:hideMark/>
          </w:tcPr>
          <w:p w14:paraId="739A307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1,392.62</w:t>
            </w:r>
          </w:p>
        </w:tc>
        <w:tc>
          <w:tcPr>
            <w:tcW w:w="1475" w:type="dxa"/>
            <w:tcBorders>
              <w:top w:val="nil"/>
              <w:left w:val="nil"/>
              <w:bottom w:val="single" w:sz="4" w:space="0" w:color="auto"/>
              <w:right w:val="single" w:sz="4" w:space="0" w:color="auto"/>
            </w:tcBorders>
            <w:shd w:val="clear" w:color="auto" w:fill="auto"/>
            <w:noWrap/>
            <w:vAlign w:val="bottom"/>
            <w:hideMark/>
          </w:tcPr>
          <w:p w14:paraId="7D41D0B1"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1,34,876</w:t>
            </w:r>
          </w:p>
        </w:tc>
        <w:tc>
          <w:tcPr>
            <w:tcW w:w="1300" w:type="dxa"/>
            <w:tcBorders>
              <w:top w:val="nil"/>
              <w:left w:val="nil"/>
              <w:bottom w:val="single" w:sz="4" w:space="0" w:color="auto"/>
              <w:right w:val="single" w:sz="4" w:space="0" w:color="auto"/>
            </w:tcBorders>
            <w:shd w:val="clear" w:color="auto" w:fill="auto"/>
            <w:noWrap/>
            <w:vAlign w:val="bottom"/>
            <w:hideMark/>
          </w:tcPr>
          <w:p w14:paraId="60F00E8F"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1.03</w:t>
            </w:r>
          </w:p>
        </w:tc>
      </w:tr>
      <w:tr w:rsidR="0071097A" w:rsidRPr="00A46DC3" w14:paraId="04677D1F" w14:textId="77777777" w:rsidTr="0071097A">
        <w:trPr>
          <w:trHeight w:val="34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590D7C9E"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1445" w:type="dxa"/>
            <w:tcBorders>
              <w:top w:val="nil"/>
              <w:left w:val="nil"/>
              <w:bottom w:val="single" w:sz="4" w:space="0" w:color="auto"/>
              <w:right w:val="single" w:sz="4" w:space="0" w:color="auto"/>
            </w:tcBorders>
            <w:shd w:val="clear" w:color="auto" w:fill="auto"/>
            <w:vAlign w:val="center"/>
            <w:hideMark/>
          </w:tcPr>
          <w:p w14:paraId="7572A88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1,205.01</w:t>
            </w:r>
          </w:p>
        </w:tc>
        <w:tc>
          <w:tcPr>
            <w:tcW w:w="1475" w:type="dxa"/>
            <w:tcBorders>
              <w:top w:val="nil"/>
              <w:left w:val="nil"/>
              <w:bottom w:val="single" w:sz="4" w:space="0" w:color="auto"/>
              <w:right w:val="single" w:sz="4" w:space="0" w:color="auto"/>
            </w:tcBorders>
            <w:shd w:val="clear" w:color="auto" w:fill="auto"/>
            <w:noWrap/>
            <w:vAlign w:val="bottom"/>
            <w:hideMark/>
          </w:tcPr>
          <w:p w14:paraId="4AB7B81A"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1,53,335</w:t>
            </w:r>
          </w:p>
        </w:tc>
        <w:tc>
          <w:tcPr>
            <w:tcW w:w="1300" w:type="dxa"/>
            <w:tcBorders>
              <w:top w:val="nil"/>
              <w:left w:val="nil"/>
              <w:bottom w:val="single" w:sz="4" w:space="0" w:color="auto"/>
              <w:right w:val="single" w:sz="4" w:space="0" w:color="auto"/>
            </w:tcBorders>
            <w:shd w:val="clear" w:color="auto" w:fill="auto"/>
            <w:noWrap/>
            <w:vAlign w:val="bottom"/>
            <w:hideMark/>
          </w:tcPr>
          <w:p w14:paraId="051EA9DF"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0.79</w:t>
            </w:r>
          </w:p>
        </w:tc>
      </w:tr>
      <w:tr w:rsidR="0071097A" w:rsidRPr="00A46DC3" w14:paraId="07C244D5" w14:textId="77777777" w:rsidTr="0071097A">
        <w:trPr>
          <w:trHeight w:val="34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137CF14"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1445" w:type="dxa"/>
            <w:tcBorders>
              <w:top w:val="nil"/>
              <w:left w:val="nil"/>
              <w:bottom w:val="single" w:sz="4" w:space="0" w:color="auto"/>
              <w:right w:val="single" w:sz="4" w:space="0" w:color="auto"/>
            </w:tcBorders>
            <w:shd w:val="clear" w:color="auto" w:fill="auto"/>
            <w:vAlign w:val="center"/>
            <w:hideMark/>
          </w:tcPr>
          <w:p w14:paraId="250FEA50"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1,255.33</w:t>
            </w:r>
          </w:p>
        </w:tc>
        <w:tc>
          <w:tcPr>
            <w:tcW w:w="1475" w:type="dxa"/>
            <w:tcBorders>
              <w:top w:val="nil"/>
              <w:left w:val="nil"/>
              <w:bottom w:val="single" w:sz="4" w:space="0" w:color="auto"/>
              <w:right w:val="single" w:sz="4" w:space="0" w:color="auto"/>
            </w:tcBorders>
            <w:shd w:val="clear" w:color="auto" w:fill="auto"/>
            <w:noWrap/>
            <w:vAlign w:val="bottom"/>
            <w:hideMark/>
          </w:tcPr>
          <w:p w14:paraId="6E9CD3CE"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1,74,447</w:t>
            </w:r>
          </w:p>
        </w:tc>
        <w:tc>
          <w:tcPr>
            <w:tcW w:w="1300" w:type="dxa"/>
            <w:tcBorders>
              <w:top w:val="nil"/>
              <w:left w:val="nil"/>
              <w:bottom w:val="single" w:sz="4" w:space="0" w:color="auto"/>
              <w:right w:val="single" w:sz="4" w:space="0" w:color="auto"/>
            </w:tcBorders>
            <w:shd w:val="clear" w:color="auto" w:fill="auto"/>
            <w:noWrap/>
            <w:vAlign w:val="bottom"/>
            <w:hideMark/>
          </w:tcPr>
          <w:p w14:paraId="11767063"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0.72</w:t>
            </w:r>
          </w:p>
        </w:tc>
      </w:tr>
      <w:tr w:rsidR="0071097A" w:rsidRPr="00A46DC3" w14:paraId="66DFD865" w14:textId="77777777" w:rsidTr="0071097A">
        <w:trPr>
          <w:trHeight w:val="7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42D76211"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1445" w:type="dxa"/>
            <w:tcBorders>
              <w:top w:val="nil"/>
              <w:left w:val="nil"/>
              <w:bottom w:val="single" w:sz="4" w:space="0" w:color="auto"/>
              <w:right w:val="single" w:sz="4" w:space="0" w:color="auto"/>
            </w:tcBorders>
            <w:shd w:val="clear" w:color="auto" w:fill="auto"/>
            <w:vAlign w:val="center"/>
            <w:hideMark/>
          </w:tcPr>
          <w:p w14:paraId="5BD9F2FA"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1,255.00</w:t>
            </w:r>
          </w:p>
        </w:tc>
        <w:tc>
          <w:tcPr>
            <w:tcW w:w="1475" w:type="dxa"/>
            <w:tcBorders>
              <w:top w:val="nil"/>
              <w:left w:val="nil"/>
              <w:bottom w:val="single" w:sz="4" w:space="0" w:color="auto"/>
              <w:right w:val="single" w:sz="4" w:space="0" w:color="auto"/>
            </w:tcBorders>
            <w:shd w:val="clear" w:color="auto" w:fill="auto"/>
            <w:noWrap/>
            <w:vAlign w:val="bottom"/>
            <w:hideMark/>
          </w:tcPr>
          <w:p w14:paraId="534B41A0"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2,09,403</w:t>
            </w:r>
          </w:p>
        </w:tc>
        <w:tc>
          <w:tcPr>
            <w:tcW w:w="1300" w:type="dxa"/>
            <w:tcBorders>
              <w:top w:val="nil"/>
              <w:left w:val="nil"/>
              <w:bottom w:val="single" w:sz="4" w:space="0" w:color="auto"/>
              <w:right w:val="single" w:sz="4" w:space="0" w:color="auto"/>
            </w:tcBorders>
            <w:shd w:val="clear" w:color="auto" w:fill="auto"/>
            <w:noWrap/>
            <w:vAlign w:val="bottom"/>
            <w:hideMark/>
          </w:tcPr>
          <w:p w14:paraId="09218B0B"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0.60</w:t>
            </w:r>
          </w:p>
        </w:tc>
      </w:tr>
    </w:tbl>
    <w:p w14:paraId="5216BB8F" w14:textId="77777777" w:rsidR="0046794E" w:rsidRPr="00A46DC3" w:rsidRDefault="0046794E" w:rsidP="00991EF9">
      <w:pPr>
        <w:tabs>
          <w:tab w:val="left" w:pos="5304"/>
        </w:tabs>
        <w:rPr>
          <w:rFonts w:ascii="Times New Roman" w:hAnsi="Times New Roman" w:cs="Times New Roman"/>
          <w:b/>
          <w:bCs/>
          <w:sz w:val="24"/>
          <w:szCs w:val="24"/>
        </w:rPr>
      </w:pPr>
    </w:p>
    <w:p w14:paraId="47E49CD9" w14:textId="1CFC9AB0" w:rsidR="0071097A" w:rsidRPr="00A46DC3" w:rsidRDefault="0046794E" w:rsidP="00991EF9">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4.1: Showing the Net NPA Ratio of Federal Bank</w:t>
      </w:r>
    </w:p>
    <w:p w14:paraId="7A1E670F" w14:textId="6F9837EF" w:rsidR="00C116DE" w:rsidRPr="00A46DC3" w:rsidRDefault="00C116DE" w:rsidP="00991EF9">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3DA6CD87" wp14:editId="4ADE7B86">
            <wp:extent cx="4572000" cy="2743200"/>
            <wp:effectExtent l="0" t="0" r="0" b="0"/>
            <wp:docPr id="478876493" name="Chart 1">
              <a:extLst xmlns:a="http://schemas.openxmlformats.org/drawingml/2006/main">
                <a:ext uri="{FF2B5EF4-FFF2-40B4-BE49-F238E27FC236}">
                  <a16:creationId xmlns:a16="http://schemas.microsoft.com/office/drawing/2014/main" id="{1ACCFB70-4E1F-C02A-BCBE-66E4D32504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B1C6E82" w14:textId="0AA657B5" w:rsidR="00F636A8" w:rsidRPr="00A46DC3" w:rsidRDefault="00A46DC3" w:rsidP="00B0104E">
      <w:pPr>
        <w:tabs>
          <w:tab w:val="left" w:pos="5304"/>
        </w:tabs>
        <w:rPr>
          <w:rFonts w:ascii="Times New Roman" w:hAnsi="Times New Roman" w:cs="Times New Roman"/>
          <w:sz w:val="24"/>
          <w:szCs w:val="24"/>
        </w:rPr>
      </w:pPr>
      <w:r w:rsidRPr="00A46DC3">
        <w:rPr>
          <w:rFonts w:ascii="Times New Roman" w:hAnsi="Times New Roman" w:cs="Times New Roman"/>
          <w:sz w:val="24"/>
          <w:szCs w:val="24"/>
        </w:rPr>
        <w:t>Interpretation</w:t>
      </w:r>
      <w:r w:rsidR="00E022B6" w:rsidRPr="00A46DC3">
        <w:rPr>
          <w:rFonts w:ascii="Times New Roman" w:hAnsi="Times New Roman" w:cs="Times New Roman"/>
          <w:sz w:val="24"/>
          <w:szCs w:val="24"/>
        </w:rPr>
        <w:t xml:space="preserve">: The </w:t>
      </w:r>
      <w:r w:rsidR="00E022B6" w:rsidRPr="00A46DC3">
        <w:rPr>
          <w:rFonts w:ascii="Times New Roman" w:hAnsi="Times New Roman" w:cs="Times New Roman"/>
          <w:b/>
          <w:bCs/>
          <w:sz w:val="24"/>
          <w:szCs w:val="24"/>
        </w:rPr>
        <w:t>Net NPA</w:t>
      </w:r>
      <w:r w:rsidR="00E022B6" w:rsidRPr="00A46DC3">
        <w:rPr>
          <w:rFonts w:ascii="Times New Roman" w:hAnsi="Times New Roman" w:cs="Times New Roman"/>
          <w:sz w:val="24"/>
          <w:szCs w:val="24"/>
        </w:rPr>
        <w:t xml:space="preserve"> of Federal Bank has decreased consistently from ₹1,607.17 crore in 2019 to ₹1,255.00 crore in 2024. A reduction in Net NPA indicates that the bank has made progress in recovering bad loans or reducing the overall bad loan value. The small increase in </w:t>
      </w:r>
      <w:r w:rsidR="00E022B6" w:rsidRPr="00A46DC3">
        <w:rPr>
          <w:rFonts w:ascii="Times New Roman" w:hAnsi="Times New Roman" w:cs="Times New Roman"/>
          <w:b/>
          <w:bCs/>
          <w:sz w:val="24"/>
          <w:szCs w:val="24"/>
        </w:rPr>
        <w:t>2023</w:t>
      </w:r>
      <w:r w:rsidR="00E022B6" w:rsidRPr="00A46DC3">
        <w:rPr>
          <w:rFonts w:ascii="Times New Roman" w:hAnsi="Times New Roman" w:cs="Times New Roman"/>
          <w:sz w:val="24"/>
          <w:szCs w:val="24"/>
        </w:rPr>
        <w:t xml:space="preserve"> (₹1,255.33 crore) could be attributed to certain external factors like economic conditions or industry-specific issues, but overall, the bank is showing improved asset quality over the period.</w:t>
      </w:r>
      <w:r w:rsidR="00B0104E" w:rsidRPr="00A46DC3">
        <w:rPr>
          <w:rFonts w:ascii="Times New Roman" w:hAnsi="Times New Roman" w:cs="Times New Roman"/>
          <w:sz w:val="24"/>
          <w:szCs w:val="24"/>
        </w:rPr>
        <w:t xml:space="preserve"> </w:t>
      </w:r>
      <w:r w:rsidR="00B0104E" w:rsidRPr="00A46DC3">
        <w:rPr>
          <w:rFonts w:ascii="Times New Roman" w:hAnsi="Times New Roman" w:cs="Times New Roman"/>
          <w:b/>
          <w:bCs/>
          <w:sz w:val="24"/>
          <w:szCs w:val="24"/>
        </w:rPr>
        <w:t>Total Advances</w:t>
      </w:r>
      <w:r w:rsidR="00B0104E" w:rsidRPr="00A46DC3">
        <w:rPr>
          <w:rFonts w:ascii="Times New Roman" w:hAnsi="Times New Roman" w:cs="Times New Roman"/>
          <w:sz w:val="24"/>
          <w:szCs w:val="24"/>
        </w:rPr>
        <w:t xml:space="preserve"> have grown significantly from ₹1,12,205 crore in 2019 to ₹2,09,403 crore in 2024. This is a positive sign as it shows Federal Bank's increasing ability to lend, which reflects growth in the bank's operations. The strong growth in advances also suggests that Federal Bank has been able to attract and maintain a larger customer base for loans. The </w:t>
      </w:r>
      <w:r w:rsidR="00B0104E" w:rsidRPr="00A46DC3">
        <w:rPr>
          <w:rFonts w:ascii="Times New Roman" w:hAnsi="Times New Roman" w:cs="Times New Roman"/>
          <w:b/>
          <w:bCs/>
          <w:sz w:val="24"/>
          <w:szCs w:val="24"/>
        </w:rPr>
        <w:t>Net NPA Ratio</w:t>
      </w:r>
      <w:r w:rsidR="00B0104E" w:rsidRPr="00A46DC3">
        <w:rPr>
          <w:rFonts w:ascii="Times New Roman" w:hAnsi="Times New Roman" w:cs="Times New Roman"/>
          <w:sz w:val="24"/>
          <w:szCs w:val="24"/>
        </w:rPr>
        <w:t xml:space="preserve"> has consistently declined from </w:t>
      </w:r>
      <w:r w:rsidR="00B0104E" w:rsidRPr="00A46DC3">
        <w:rPr>
          <w:rFonts w:ascii="Times New Roman" w:hAnsi="Times New Roman" w:cs="Times New Roman"/>
          <w:b/>
          <w:bCs/>
          <w:sz w:val="24"/>
          <w:szCs w:val="24"/>
        </w:rPr>
        <w:t>1.43% in 2019</w:t>
      </w:r>
      <w:r w:rsidR="00B0104E" w:rsidRPr="00A46DC3">
        <w:rPr>
          <w:rFonts w:ascii="Times New Roman" w:hAnsi="Times New Roman" w:cs="Times New Roman"/>
          <w:sz w:val="24"/>
          <w:szCs w:val="24"/>
        </w:rPr>
        <w:t xml:space="preserve"> to </w:t>
      </w:r>
      <w:r w:rsidR="00B0104E" w:rsidRPr="00A46DC3">
        <w:rPr>
          <w:rFonts w:ascii="Times New Roman" w:hAnsi="Times New Roman" w:cs="Times New Roman"/>
          <w:b/>
          <w:bCs/>
          <w:sz w:val="24"/>
          <w:szCs w:val="24"/>
        </w:rPr>
        <w:t>0.60% in 2024</w:t>
      </w:r>
      <w:r w:rsidR="00B0104E" w:rsidRPr="00A46DC3">
        <w:rPr>
          <w:rFonts w:ascii="Times New Roman" w:hAnsi="Times New Roman" w:cs="Times New Roman"/>
          <w:sz w:val="24"/>
          <w:szCs w:val="24"/>
        </w:rPr>
        <w:t>, which is an excellent indicator of improving asset quality and risk management. A lower NPA ratio suggests that the bank is able to recover more of its bad loans or has a better approach to lending, resulting in fewer bad loans as a percentage of total advances.</w:t>
      </w:r>
    </w:p>
    <w:p w14:paraId="4DAC3D8D" w14:textId="77777777" w:rsidR="00F636A8" w:rsidRPr="00A46DC3" w:rsidRDefault="00F636A8" w:rsidP="0071097A">
      <w:pPr>
        <w:tabs>
          <w:tab w:val="left" w:pos="5304"/>
        </w:tabs>
        <w:rPr>
          <w:rFonts w:ascii="Times New Roman" w:hAnsi="Times New Roman" w:cs="Times New Roman"/>
          <w:b/>
          <w:bCs/>
          <w:sz w:val="24"/>
          <w:szCs w:val="24"/>
        </w:rPr>
      </w:pPr>
    </w:p>
    <w:p w14:paraId="14FE5504" w14:textId="1CC85D33" w:rsidR="0071097A" w:rsidRPr="00A46DC3" w:rsidRDefault="0071097A" w:rsidP="0071097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4.2. Calculation of GPA ratio:</w:t>
      </w:r>
    </w:p>
    <w:p w14:paraId="7C104335" w14:textId="1742A50B" w:rsidR="0071097A" w:rsidRPr="00A46DC3" w:rsidRDefault="0071097A" w:rsidP="0071097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360E6A" w:rsidRPr="00A46DC3">
        <w:rPr>
          <w:rFonts w:ascii="Times New Roman" w:hAnsi="Times New Roman" w:cs="Times New Roman"/>
          <w:b/>
          <w:bCs/>
          <w:sz w:val="24"/>
          <w:szCs w:val="24"/>
        </w:rPr>
        <w:t>2</w:t>
      </w:r>
      <w:r w:rsidRPr="00A46DC3">
        <w:rPr>
          <w:rFonts w:ascii="Times New Roman" w:hAnsi="Times New Roman" w:cs="Times New Roman"/>
          <w:b/>
          <w:bCs/>
          <w:sz w:val="24"/>
          <w:szCs w:val="24"/>
        </w:rPr>
        <w:t>: Showing the Gross NPA Ratio of Federal Bank (Rs. in cr)</w:t>
      </w:r>
    </w:p>
    <w:tbl>
      <w:tblPr>
        <w:tblW w:w="5182" w:type="dxa"/>
        <w:tblInd w:w="113" w:type="dxa"/>
        <w:tblLook w:val="04A0" w:firstRow="1" w:lastRow="0" w:firstColumn="1" w:lastColumn="0" w:noHBand="0" w:noVBand="1"/>
      </w:tblPr>
      <w:tblGrid>
        <w:gridCol w:w="973"/>
        <w:gridCol w:w="1405"/>
        <w:gridCol w:w="1434"/>
        <w:gridCol w:w="1370"/>
      </w:tblGrid>
      <w:tr w:rsidR="0071097A" w:rsidRPr="00A46DC3" w14:paraId="542BF072" w14:textId="77777777" w:rsidTr="0071097A">
        <w:trPr>
          <w:trHeight w:val="843"/>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1D29"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eastAsia="en-IN"/>
                <w14:ligatures w14:val="none"/>
              </w:rPr>
              <w:t>YEAR</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6BC8710" w14:textId="77777777" w:rsidR="0071097A" w:rsidRPr="00A46DC3" w:rsidRDefault="0071097A" w:rsidP="0071097A">
            <w:pPr>
              <w:spacing w:after="0" w:line="240" w:lineRule="auto"/>
              <w:jc w:val="center"/>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eastAsia="en-IN"/>
                <w14:ligatures w14:val="none"/>
              </w:rPr>
              <w:t>GROSS NPA</w:t>
            </w:r>
          </w:p>
        </w:tc>
        <w:tc>
          <w:tcPr>
            <w:tcW w:w="1434" w:type="dxa"/>
            <w:tcBorders>
              <w:top w:val="single" w:sz="4" w:space="0" w:color="auto"/>
              <w:left w:val="nil"/>
              <w:bottom w:val="single" w:sz="4" w:space="0" w:color="auto"/>
              <w:right w:val="single" w:sz="4" w:space="0" w:color="auto"/>
            </w:tcBorders>
            <w:shd w:val="clear" w:color="auto" w:fill="auto"/>
            <w:vAlign w:val="bottom"/>
            <w:hideMark/>
          </w:tcPr>
          <w:p w14:paraId="09962A23" w14:textId="77777777" w:rsidR="0071097A" w:rsidRPr="00A46DC3" w:rsidRDefault="0071097A" w:rsidP="0071097A">
            <w:pPr>
              <w:spacing w:after="0" w:line="240" w:lineRule="auto"/>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val="en-IN" w:eastAsia="en-IN"/>
                <w14:ligatures w14:val="none"/>
              </w:rPr>
              <w:t>Total Advances</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14:paraId="60DB3277" w14:textId="77777777" w:rsidR="0071097A" w:rsidRPr="00A46DC3" w:rsidRDefault="0071097A" w:rsidP="0071097A">
            <w:pPr>
              <w:spacing w:after="0" w:line="240" w:lineRule="auto"/>
              <w:rPr>
                <w:rFonts w:ascii="Times New Roman" w:eastAsia="Times New Roman" w:hAnsi="Times New Roman" w:cs="Times New Roman"/>
                <w:b/>
                <w:bCs/>
                <w:color w:val="000000"/>
                <w:kern w:val="0"/>
                <w:sz w:val="24"/>
                <w:szCs w:val="24"/>
                <w:lang w:val="en-IN" w:eastAsia="en-IN"/>
                <w14:ligatures w14:val="none"/>
              </w:rPr>
            </w:pPr>
            <w:r w:rsidRPr="00A46DC3">
              <w:rPr>
                <w:rFonts w:ascii="Times New Roman" w:eastAsia="Times New Roman" w:hAnsi="Times New Roman" w:cs="Times New Roman"/>
                <w:b/>
                <w:bCs/>
                <w:color w:val="000000"/>
                <w:kern w:val="0"/>
                <w:sz w:val="24"/>
                <w:szCs w:val="24"/>
                <w:lang w:val="en-IN" w:eastAsia="en-IN"/>
                <w14:ligatures w14:val="none"/>
              </w:rPr>
              <w:t>GROSS NPA RATIO (%)</w:t>
            </w:r>
          </w:p>
        </w:tc>
      </w:tr>
      <w:tr w:rsidR="0071097A" w:rsidRPr="00A46DC3" w14:paraId="563AAD7A"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34B430DD"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1405" w:type="dxa"/>
            <w:tcBorders>
              <w:top w:val="nil"/>
              <w:left w:val="nil"/>
              <w:bottom w:val="single" w:sz="4" w:space="0" w:color="auto"/>
              <w:right w:val="single" w:sz="4" w:space="0" w:color="auto"/>
            </w:tcBorders>
            <w:shd w:val="clear" w:color="auto" w:fill="auto"/>
            <w:vAlign w:val="center"/>
            <w:hideMark/>
          </w:tcPr>
          <w:p w14:paraId="7FC353E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3,530.83</w:t>
            </w:r>
          </w:p>
        </w:tc>
        <w:tc>
          <w:tcPr>
            <w:tcW w:w="1434" w:type="dxa"/>
            <w:tcBorders>
              <w:top w:val="nil"/>
              <w:left w:val="nil"/>
              <w:bottom w:val="single" w:sz="4" w:space="0" w:color="auto"/>
              <w:right w:val="single" w:sz="4" w:space="0" w:color="auto"/>
            </w:tcBorders>
            <w:shd w:val="clear" w:color="auto" w:fill="auto"/>
            <w:noWrap/>
            <w:vAlign w:val="bottom"/>
            <w:hideMark/>
          </w:tcPr>
          <w:p w14:paraId="03764838"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1,12,205</w:t>
            </w:r>
          </w:p>
        </w:tc>
        <w:tc>
          <w:tcPr>
            <w:tcW w:w="1370" w:type="dxa"/>
            <w:tcBorders>
              <w:top w:val="nil"/>
              <w:left w:val="nil"/>
              <w:bottom w:val="single" w:sz="4" w:space="0" w:color="auto"/>
              <w:right w:val="single" w:sz="4" w:space="0" w:color="auto"/>
            </w:tcBorders>
            <w:shd w:val="clear" w:color="auto" w:fill="auto"/>
            <w:noWrap/>
            <w:vAlign w:val="bottom"/>
            <w:hideMark/>
          </w:tcPr>
          <w:p w14:paraId="6BBD3F8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3.15</w:t>
            </w:r>
          </w:p>
        </w:tc>
      </w:tr>
      <w:tr w:rsidR="0071097A" w:rsidRPr="00A46DC3" w14:paraId="163191E0"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241E0B59"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1405" w:type="dxa"/>
            <w:tcBorders>
              <w:top w:val="nil"/>
              <w:left w:val="nil"/>
              <w:bottom w:val="single" w:sz="4" w:space="0" w:color="auto"/>
              <w:right w:val="single" w:sz="4" w:space="0" w:color="auto"/>
            </w:tcBorders>
            <w:shd w:val="clear" w:color="auto" w:fill="auto"/>
            <w:vAlign w:val="center"/>
            <w:hideMark/>
          </w:tcPr>
          <w:p w14:paraId="2FA609A2"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4,602.39</w:t>
            </w:r>
          </w:p>
        </w:tc>
        <w:tc>
          <w:tcPr>
            <w:tcW w:w="1434" w:type="dxa"/>
            <w:tcBorders>
              <w:top w:val="nil"/>
              <w:left w:val="nil"/>
              <w:bottom w:val="single" w:sz="4" w:space="0" w:color="auto"/>
              <w:right w:val="single" w:sz="4" w:space="0" w:color="auto"/>
            </w:tcBorders>
            <w:shd w:val="clear" w:color="auto" w:fill="auto"/>
            <w:noWrap/>
            <w:vAlign w:val="bottom"/>
            <w:hideMark/>
          </w:tcPr>
          <w:p w14:paraId="0FCC5D74"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1,23,793</w:t>
            </w:r>
          </w:p>
        </w:tc>
        <w:tc>
          <w:tcPr>
            <w:tcW w:w="1370" w:type="dxa"/>
            <w:tcBorders>
              <w:top w:val="nil"/>
              <w:left w:val="nil"/>
              <w:bottom w:val="single" w:sz="4" w:space="0" w:color="auto"/>
              <w:right w:val="single" w:sz="4" w:space="0" w:color="auto"/>
            </w:tcBorders>
            <w:shd w:val="clear" w:color="auto" w:fill="auto"/>
            <w:noWrap/>
            <w:vAlign w:val="bottom"/>
            <w:hideMark/>
          </w:tcPr>
          <w:p w14:paraId="2E29D733"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3.72</w:t>
            </w:r>
          </w:p>
        </w:tc>
      </w:tr>
      <w:tr w:rsidR="0071097A" w:rsidRPr="00A46DC3" w14:paraId="29D9D663"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06B609C2"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1405" w:type="dxa"/>
            <w:tcBorders>
              <w:top w:val="nil"/>
              <w:left w:val="nil"/>
              <w:bottom w:val="single" w:sz="4" w:space="0" w:color="auto"/>
              <w:right w:val="single" w:sz="4" w:space="0" w:color="auto"/>
            </w:tcBorders>
            <w:shd w:val="clear" w:color="auto" w:fill="auto"/>
            <w:vAlign w:val="center"/>
            <w:hideMark/>
          </w:tcPr>
          <w:p w14:paraId="10A1009E"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4,136.74</w:t>
            </w:r>
          </w:p>
        </w:tc>
        <w:tc>
          <w:tcPr>
            <w:tcW w:w="1434" w:type="dxa"/>
            <w:tcBorders>
              <w:top w:val="nil"/>
              <w:left w:val="nil"/>
              <w:bottom w:val="single" w:sz="4" w:space="0" w:color="auto"/>
              <w:right w:val="single" w:sz="4" w:space="0" w:color="auto"/>
            </w:tcBorders>
            <w:shd w:val="clear" w:color="auto" w:fill="auto"/>
            <w:noWrap/>
            <w:vAlign w:val="bottom"/>
            <w:hideMark/>
          </w:tcPr>
          <w:p w14:paraId="0BA1562A"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1,34,876</w:t>
            </w:r>
          </w:p>
        </w:tc>
        <w:tc>
          <w:tcPr>
            <w:tcW w:w="1370" w:type="dxa"/>
            <w:tcBorders>
              <w:top w:val="nil"/>
              <w:left w:val="nil"/>
              <w:bottom w:val="single" w:sz="4" w:space="0" w:color="auto"/>
              <w:right w:val="single" w:sz="4" w:space="0" w:color="auto"/>
            </w:tcBorders>
            <w:shd w:val="clear" w:color="auto" w:fill="auto"/>
            <w:noWrap/>
            <w:vAlign w:val="bottom"/>
            <w:hideMark/>
          </w:tcPr>
          <w:p w14:paraId="4773358A"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3.07</w:t>
            </w:r>
          </w:p>
        </w:tc>
      </w:tr>
      <w:tr w:rsidR="0071097A" w:rsidRPr="00A46DC3" w14:paraId="7D50A7EC"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250252FB"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1405" w:type="dxa"/>
            <w:tcBorders>
              <w:top w:val="nil"/>
              <w:left w:val="nil"/>
              <w:bottom w:val="single" w:sz="4" w:space="0" w:color="auto"/>
              <w:right w:val="single" w:sz="4" w:space="0" w:color="auto"/>
            </w:tcBorders>
            <w:shd w:val="clear" w:color="auto" w:fill="auto"/>
            <w:vAlign w:val="center"/>
            <w:hideMark/>
          </w:tcPr>
          <w:p w14:paraId="653637CE"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4,183.77</w:t>
            </w:r>
          </w:p>
        </w:tc>
        <w:tc>
          <w:tcPr>
            <w:tcW w:w="1434" w:type="dxa"/>
            <w:tcBorders>
              <w:top w:val="nil"/>
              <w:left w:val="nil"/>
              <w:bottom w:val="single" w:sz="4" w:space="0" w:color="auto"/>
              <w:right w:val="single" w:sz="4" w:space="0" w:color="auto"/>
            </w:tcBorders>
            <w:shd w:val="clear" w:color="auto" w:fill="auto"/>
            <w:noWrap/>
            <w:vAlign w:val="bottom"/>
            <w:hideMark/>
          </w:tcPr>
          <w:p w14:paraId="6C07C4C2"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1,53,335</w:t>
            </w:r>
          </w:p>
        </w:tc>
        <w:tc>
          <w:tcPr>
            <w:tcW w:w="1370" w:type="dxa"/>
            <w:tcBorders>
              <w:top w:val="nil"/>
              <w:left w:val="nil"/>
              <w:bottom w:val="single" w:sz="4" w:space="0" w:color="auto"/>
              <w:right w:val="single" w:sz="4" w:space="0" w:color="auto"/>
            </w:tcBorders>
            <w:shd w:val="clear" w:color="auto" w:fill="auto"/>
            <w:noWrap/>
            <w:vAlign w:val="bottom"/>
            <w:hideMark/>
          </w:tcPr>
          <w:p w14:paraId="0114280A"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2.73</w:t>
            </w:r>
          </w:p>
        </w:tc>
      </w:tr>
      <w:tr w:rsidR="0071097A" w:rsidRPr="00A46DC3" w14:paraId="092F151B"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1A4713F4"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1405" w:type="dxa"/>
            <w:tcBorders>
              <w:top w:val="nil"/>
              <w:left w:val="nil"/>
              <w:bottom w:val="single" w:sz="4" w:space="0" w:color="auto"/>
              <w:right w:val="single" w:sz="4" w:space="0" w:color="auto"/>
            </w:tcBorders>
            <w:shd w:val="clear" w:color="auto" w:fill="auto"/>
            <w:vAlign w:val="center"/>
            <w:hideMark/>
          </w:tcPr>
          <w:p w14:paraId="33D54963"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4,528.87</w:t>
            </w:r>
          </w:p>
        </w:tc>
        <w:tc>
          <w:tcPr>
            <w:tcW w:w="1434" w:type="dxa"/>
            <w:tcBorders>
              <w:top w:val="nil"/>
              <w:left w:val="nil"/>
              <w:bottom w:val="single" w:sz="4" w:space="0" w:color="auto"/>
              <w:right w:val="single" w:sz="4" w:space="0" w:color="auto"/>
            </w:tcBorders>
            <w:shd w:val="clear" w:color="auto" w:fill="auto"/>
            <w:noWrap/>
            <w:vAlign w:val="bottom"/>
            <w:hideMark/>
          </w:tcPr>
          <w:p w14:paraId="186D3B53"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1,74,447</w:t>
            </w:r>
          </w:p>
        </w:tc>
        <w:tc>
          <w:tcPr>
            <w:tcW w:w="1370" w:type="dxa"/>
            <w:tcBorders>
              <w:top w:val="nil"/>
              <w:left w:val="nil"/>
              <w:bottom w:val="single" w:sz="4" w:space="0" w:color="auto"/>
              <w:right w:val="single" w:sz="4" w:space="0" w:color="auto"/>
            </w:tcBorders>
            <w:shd w:val="clear" w:color="auto" w:fill="auto"/>
            <w:noWrap/>
            <w:vAlign w:val="bottom"/>
            <w:hideMark/>
          </w:tcPr>
          <w:p w14:paraId="3189A942"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2.60</w:t>
            </w:r>
          </w:p>
        </w:tc>
      </w:tr>
      <w:tr w:rsidR="0071097A" w:rsidRPr="00A46DC3" w14:paraId="5211AC8B" w14:textId="77777777" w:rsidTr="0071097A">
        <w:trPr>
          <w:trHeight w:val="300"/>
        </w:trPr>
        <w:tc>
          <w:tcPr>
            <w:tcW w:w="973" w:type="dxa"/>
            <w:tcBorders>
              <w:top w:val="nil"/>
              <w:left w:val="single" w:sz="4" w:space="0" w:color="auto"/>
              <w:bottom w:val="single" w:sz="4" w:space="0" w:color="auto"/>
              <w:right w:val="single" w:sz="4" w:space="0" w:color="auto"/>
            </w:tcBorders>
            <w:shd w:val="clear" w:color="auto" w:fill="auto"/>
            <w:vAlign w:val="center"/>
            <w:hideMark/>
          </w:tcPr>
          <w:p w14:paraId="6E497543" w14:textId="77777777" w:rsidR="0071097A" w:rsidRPr="00A46DC3" w:rsidRDefault="0071097A" w:rsidP="0071097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1405" w:type="dxa"/>
            <w:tcBorders>
              <w:top w:val="nil"/>
              <w:left w:val="nil"/>
              <w:bottom w:val="single" w:sz="4" w:space="0" w:color="auto"/>
              <w:right w:val="single" w:sz="4" w:space="0" w:color="auto"/>
            </w:tcBorders>
            <w:shd w:val="clear" w:color="auto" w:fill="auto"/>
            <w:vAlign w:val="center"/>
            <w:hideMark/>
          </w:tcPr>
          <w:p w14:paraId="13247DFC"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4,529.00</w:t>
            </w:r>
          </w:p>
        </w:tc>
        <w:tc>
          <w:tcPr>
            <w:tcW w:w="1434" w:type="dxa"/>
            <w:tcBorders>
              <w:top w:val="nil"/>
              <w:left w:val="nil"/>
              <w:bottom w:val="single" w:sz="4" w:space="0" w:color="auto"/>
              <w:right w:val="single" w:sz="4" w:space="0" w:color="auto"/>
            </w:tcBorders>
            <w:shd w:val="clear" w:color="auto" w:fill="auto"/>
            <w:noWrap/>
            <w:vAlign w:val="bottom"/>
            <w:hideMark/>
          </w:tcPr>
          <w:p w14:paraId="7A01DCB9"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2,09,403</w:t>
            </w:r>
          </w:p>
        </w:tc>
        <w:tc>
          <w:tcPr>
            <w:tcW w:w="1370" w:type="dxa"/>
            <w:tcBorders>
              <w:top w:val="nil"/>
              <w:left w:val="nil"/>
              <w:bottom w:val="single" w:sz="4" w:space="0" w:color="auto"/>
              <w:right w:val="single" w:sz="4" w:space="0" w:color="auto"/>
            </w:tcBorders>
            <w:shd w:val="clear" w:color="auto" w:fill="auto"/>
            <w:noWrap/>
            <w:vAlign w:val="bottom"/>
            <w:hideMark/>
          </w:tcPr>
          <w:p w14:paraId="347D9D8B" w14:textId="77777777" w:rsidR="0071097A" w:rsidRPr="00A46DC3" w:rsidRDefault="0071097A" w:rsidP="0071097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2.16</w:t>
            </w:r>
          </w:p>
        </w:tc>
      </w:tr>
    </w:tbl>
    <w:p w14:paraId="3799AF0D" w14:textId="77777777" w:rsidR="0046794E" w:rsidRPr="00A46DC3" w:rsidRDefault="0046794E" w:rsidP="0071097A">
      <w:pPr>
        <w:tabs>
          <w:tab w:val="left" w:pos="5304"/>
        </w:tabs>
        <w:rPr>
          <w:rFonts w:ascii="Times New Roman" w:hAnsi="Times New Roman" w:cs="Times New Roman"/>
          <w:b/>
          <w:bCs/>
          <w:sz w:val="24"/>
          <w:szCs w:val="24"/>
        </w:rPr>
      </w:pPr>
    </w:p>
    <w:p w14:paraId="30BB7DB9" w14:textId="1E8CD31E" w:rsidR="0071097A" w:rsidRPr="00A46DC3" w:rsidRDefault="0046794E" w:rsidP="0071097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4.2: Showing the Gross NPA Ratio of Federal Bank</w:t>
      </w:r>
    </w:p>
    <w:p w14:paraId="5C80642E" w14:textId="4C886396" w:rsidR="00214411" w:rsidRPr="00A46DC3" w:rsidRDefault="00214411" w:rsidP="0071097A">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2761573F" wp14:editId="03243BAB">
            <wp:extent cx="4572000" cy="2743200"/>
            <wp:effectExtent l="0" t="0" r="0" b="0"/>
            <wp:docPr id="1768129429" name="Chart 1">
              <a:extLst xmlns:a="http://schemas.openxmlformats.org/drawingml/2006/main">
                <a:ext uri="{FF2B5EF4-FFF2-40B4-BE49-F238E27FC236}">
                  <a16:creationId xmlns:a16="http://schemas.microsoft.com/office/drawing/2014/main" id="{56FEABA3-4E04-7F32-A3FB-C87DA3D09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23D78429" w14:textId="3B79F358" w:rsidR="0071097A" w:rsidRPr="00A46DC3" w:rsidRDefault="00383805" w:rsidP="004E3299">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The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has fluctuated over the years, increasing from ₹3,530.83 crore in 2019 to ₹4,529.00 crore in 2024. The sharp rise in </w:t>
      </w:r>
      <w:r w:rsidRPr="00A46DC3">
        <w:rPr>
          <w:rFonts w:ascii="Times New Roman" w:hAnsi="Times New Roman" w:cs="Times New Roman"/>
          <w:b/>
          <w:bCs/>
          <w:sz w:val="24"/>
          <w:szCs w:val="24"/>
        </w:rPr>
        <w:t>2020</w:t>
      </w:r>
      <w:r w:rsidRPr="00A46DC3">
        <w:rPr>
          <w:rFonts w:ascii="Times New Roman" w:hAnsi="Times New Roman" w:cs="Times New Roman"/>
          <w:sz w:val="24"/>
          <w:szCs w:val="24"/>
        </w:rPr>
        <w:t xml:space="preserve"> (₹4,602.39 crore) could likely be a result of the </w:t>
      </w:r>
      <w:r w:rsidRPr="00A46DC3">
        <w:rPr>
          <w:rFonts w:ascii="Times New Roman" w:hAnsi="Times New Roman" w:cs="Times New Roman"/>
          <w:b/>
          <w:bCs/>
          <w:sz w:val="24"/>
          <w:szCs w:val="24"/>
        </w:rPr>
        <w:t>COVID-19 pandemic</w:t>
      </w:r>
      <w:r w:rsidRPr="00A46DC3">
        <w:rPr>
          <w:rFonts w:ascii="Times New Roman" w:hAnsi="Times New Roman" w:cs="Times New Roman"/>
          <w:sz w:val="24"/>
          <w:szCs w:val="24"/>
        </w:rPr>
        <w:t xml:space="preserve">, which impacted many borrowers' ability to repay loans. The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then slightly decreased in 2021 and 2022, but the values have remained relatively stable in 2023 and 2024. This indicates that while Federal Bank has faced challenges with bad loans, the overall level of Gross NPA has remained fairly constant in recent years.</w:t>
      </w:r>
      <w:r w:rsidR="00174D0E" w:rsidRPr="00A46DC3">
        <w:rPr>
          <w:rFonts w:ascii="Times New Roman" w:hAnsi="Times New Roman" w:cs="Times New Roman"/>
          <w:sz w:val="24"/>
          <w:szCs w:val="24"/>
        </w:rPr>
        <w:t xml:space="preserve"> Total </w:t>
      </w:r>
      <w:r w:rsidR="00174D0E" w:rsidRPr="00A46DC3">
        <w:rPr>
          <w:rFonts w:ascii="Times New Roman" w:hAnsi="Times New Roman" w:cs="Times New Roman"/>
          <w:b/>
          <w:bCs/>
          <w:sz w:val="24"/>
          <w:szCs w:val="24"/>
        </w:rPr>
        <w:t>Advances</w:t>
      </w:r>
      <w:r w:rsidR="00174D0E" w:rsidRPr="00A46DC3">
        <w:rPr>
          <w:rFonts w:ascii="Times New Roman" w:hAnsi="Times New Roman" w:cs="Times New Roman"/>
          <w:sz w:val="24"/>
          <w:szCs w:val="24"/>
        </w:rPr>
        <w:t xml:space="preserve"> have grown steadily from ₹1,12,205 crore in 2019 to ₹2,09,403 crore in 2024. This reflects the bank's increasing lending activity and an expanding loan portfolio. While </w:t>
      </w:r>
      <w:r w:rsidR="00174D0E" w:rsidRPr="00A46DC3">
        <w:rPr>
          <w:rFonts w:ascii="Times New Roman" w:hAnsi="Times New Roman" w:cs="Times New Roman"/>
          <w:b/>
          <w:bCs/>
          <w:sz w:val="24"/>
          <w:szCs w:val="24"/>
        </w:rPr>
        <w:t>Gross NPA</w:t>
      </w:r>
      <w:r w:rsidR="00174D0E" w:rsidRPr="00A46DC3">
        <w:rPr>
          <w:rFonts w:ascii="Times New Roman" w:hAnsi="Times New Roman" w:cs="Times New Roman"/>
          <w:sz w:val="24"/>
          <w:szCs w:val="24"/>
        </w:rPr>
        <w:t xml:space="preserve"> has increased in absolute terms, the growth in advances has outpaced the increase in bad loans, suggesting that the </w:t>
      </w:r>
      <w:r w:rsidR="00174D0E" w:rsidRPr="00A46DC3">
        <w:rPr>
          <w:rFonts w:ascii="Times New Roman" w:hAnsi="Times New Roman" w:cs="Times New Roman"/>
          <w:b/>
          <w:bCs/>
          <w:sz w:val="24"/>
          <w:szCs w:val="24"/>
        </w:rPr>
        <w:t>NPA ratio</w:t>
      </w:r>
      <w:r w:rsidR="00174D0E" w:rsidRPr="00A46DC3">
        <w:rPr>
          <w:rFonts w:ascii="Times New Roman" w:hAnsi="Times New Roman" w:cs="Times New Roman"/>
          <w:sz w:val="24"/>
          <w:szCs w:val="24"/>
        </w:rPr>
        <w:t xml:space="preserve"> is improving as the loan book expands.</w:t>
      </w:r>
      <w:r w:rsidR="004E3299" w:rsidRPr="00A46DC3">
        <w:rPr>
          <w:rFonts w:ascii="Times New Roman" w:hAnsi="Times New Roman" w:cs="Times New Roman"/>
          <w:sz w:val="24"/>
          <w:szCs w:val="24"/>
        </w:rPr>
        <w:t xml:space="preserve"> The </w:t>
      </w:r>
      <w:r w:rsidR="004E3299" w:rsidRPr="00A46DC3">
        <w:rPr>
          <w:rFonts w:ascii="Times New Roman" w:hAnsi="Times New Roman" w:cs="Times New Roman"/>
          <w:b/>
          <w:bCs/>
          <w:sz w:val="24"/>
          <w:szCs w:val="24"/>
        </w:rPr>
        <w:t>Gross NPA Ratio</w:t>
      </w:r>
      <w:r w:rsidR="004E3299" w:rsidRPr="00A46DC3">
        <w:rPr>
          <w:rFonts w:ascii="Times New Roman" w:hAnsi="Times New Roman" w:cs="Times New Roman"/>
          <w:sz w:val="24"/>
          <w:szCs w:val="24"/>
        </w:rPr>
        <w:t xml:space="preserve"> has been gradually decreasing from </w:t>
      </w:r>
      <w:r w:rsidR="004E3299" w:rsidRPr="00A46DC3">
        <w:rPr>
          <w:rFonts w:ascii="Times New Roman" w:hAnsi="Times New Roman" w:cs="Times New Roman"/>
          <w:b/>
          <w:bCs/>
          <w:sz w:val="24"/>
          <w:szCs w:val="24"/>
        </w:rPr>
        <w:t>3.15% in 2019</w:t>
      </w:r>
      <w:r w:rsidR="004E3299" w:rsidRPr="00A46DC3">
        <w:rPr>
          <w:rFonts w:ascii="Times New Roman" w:hAnsi="Times New Roman" w:cs="Times New Roman"/>
          <w:sz w:val="24"/>
          <w:szCs w:val="24"/>
        </w:rPr>
        <w:t xml:space="preserve"> to </w:t>
      </w:r>
      <w:r w:rsidR="004E3299" w:rsidRPr="00A46DC3">
        <w:rPr>
          <w:rFonts w:ascii="Times New Roman" w:hAnsi="Times New Roman" w:cs="Times New Roman"/>
          <w:b/>
          <w:bCs/>
          <w:sz w:val="24"/>
          <w:szCs w:val="24"/>
        </w:rPr>
        <w:t>2.16% in 2024</w:t>
      </w:r>
      <w:r w:rsidR="004E3299" w:rsidRPr="00A46DC3">
        <w:rPr>
          <w:rFonts w:ascii="Times New Roman" w:hAnsi="Times New Roman" w:cs="Times New Roman"/>
          <w:sz w:val="24"/>
          <w:szCs w:val="24"/>
        </w:rPr>
        <w:t xml:space="preserve">, which indicates a positive trend in asset quality. A lower </w:t>
      </w:r>
      <w:r w:rsidR="004E3299" w:rsidRPr="00A46DC3">
        <w:rPr>
          <w:rFonts w:ascii="Times New Roman" w:hAnsi="Times New Roman" w:cs="Times New Roman"/>
          <w:b/>
          <w:bCs/>
          <w:sz w:val="24"/>
          <w:szCs w:val="24"/>
        </w:rPr>
        <w:t>Gross NPA Ratio</w:t>
      </w:r>
      <w:r w:rsidR="004E3299" w:rsidRPr="00A46DC3">
        <w:rPr>
          <w:rFonts w:ascii="Times New Roman" w:hAnsi="Times New Roman" w:cs="Times New Roman"/>
          <w:sz w:val="24"/>
          <w:szCs w:val="24"/>
        </w:rPr>
        <w:t xml:space="preserve"> suggests that the proportion of bad loans relative to the total loans is shrinking, signalling improved loan quality over time. Although </w:t>
      </w:r>
      <w:r w:rsidR="004E3299" w:rsidRPr="00A46DC3">
        <w:rPr>
          <w:rFonts w:ascii="Times New Roman" w:hAnsi="Times New Roman" w:cs="Times New Roman"/>
          <w:b/>
          <w:bCs/>
          <w:sz w:val="24"/>
          <w:szCs w:val="24"/>
        </w:rPr>
        <w:t>Gross NPA</w:t>
      </w:r>
      <w:r w:rsidR="004E3299" w:rsidRPr="00A46DC3">
        <w:rPr>
          <w:rFonts w:ascii="Times New Roman" w:hAnsi="Times New Roman" w:cs="Times New Roman"/>
          <w:sz w:val="24"/>
          <w:szCs w:val="24"/>
        </w:rPr>
        <w:t xml:space="preserve"> in absolute terms increased in 2020, the </w:t>
      </w:r>
      <w:r w:rsidR="004E3299" w:rsidRPr="00A46DC3">
        <w:rPr>
          <w:rFonts w:ascii="Times New Roman" w:hAnsi="Times New Roman" w:cs="Times New Roman"/>
          <w:b/>
          <w:bCs/>
          <w:sz w:val="24"/>
          <w:szCs w:val="24"/>
        </w:rPr>
        <w:t>Gross NPA Ratio</w:t>
      </w:r>
      <w:r w:rsidR="004E3299" w:rsidRPr="00A46DC3">
        <w:rPr>
          <w:rFonts w:ascii="Times New Roman" w:hAnsi="Times New Roman" w:cs="Times New Roman"/>
          <w:sz w:val="24"/>
          <w:szCs w:val="24"/>
        </w:rPr>
        <w:t xml:space="preserve"> continued to improve in subsequent years. This suggests that Federal Bank is improving its ability to manage and control NPAs despite an increasing loan book.</w:t>
      </w:r>
    </w:p>
    <w:p w14:paraId="4D2B9179" w14:textId="09C69F3C" w:rsidR="00087C91" w:rsidRPr="00A46DC3" w:rsidRDefault="00917227" w:rsidP="00991EF9">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71097A" w:rsidRPr="00A46DC3">
        <w:rPr>
          <w:rFonts w:ascii="Times New Roman" w:hAnsi="Times New Roman" w:cs="Times New Roman"/>
          <w:b/>
          <w:bCs/>
          <w:sz w:val="24"/>
          <w:szCs w:val="24"/>
        </w:rPr>
        <w:t>3</w:t>
      </w:r>
      <w:r w:rsidRPr="00A46DC3">
        <w:rPr>
          <w:rFonts w:ascii="Times New Roman" w:hAnsi="Times New Roman" w:cs="Times New Roman"/>
          <w:b/>
          <w:bCs/>
          <w:sz w:val="24"/>
          <w:szCs w:val="24"/>
        </w:rPr>
        <w:t xml:space="preserve"> Capital Adequacy Ratio</w:t>
      </w:r>
    </w:p>
    <w:p w14:paraId="6976DA8B" w14:textId="0C7784C2" w:rsidR="00917227" w:rsidRPr="00A46DC3" w:rsidRDefault="00210A9A" w:rsidP="00991EF9">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71097A" w:rsidRPr="00A46DC3">
        <w:rPr>
          <w:rFonts w:ascii="Times New Roman" w:hAnsi="Times New Roman" w:cs="Times New Roman"/>
          <w:b/>
          <w:bCs/>
          <w:sz w:val="24"/>
          <w:szCs w:val="24"/>
        </w:rPr>
        <w:t>3</w:t>
      </w:r>
      <w:r w:rsidRPr="00A46DC3">
        <w:rPr>
          <w:rFonts w:ascii="Times New Roman" w:hAnsi="Times New Roman" w:cs="Times New Roman"/>
          <w:b/>
          <w:bCs/>
          <w:sz w:val="24"/>
          <w:szCs w:val="24"/>
        </w:rPr>
        <w:t xml:space="preserve">: Showing </w:t>
      </w:r>
      <w:r w:rsidR="00304136" w:rsidRPr="00A46DC3">
        <w:rPr>
          <w:rFonts w:ascii="Times New Roman" w:hAnsi="Times New Roman" w:cs="Times New Roman"/>
          <w:b/>
          <w:bCs/>
          <w:sz w:val="24"/>
          <w:szCs w:val="24"/>
        </w:rPr>
        <w:t>the Capital Adequacy Ratio</w:t>
      </w:r>
      <w:r w:rsidR="00B76492" w:rsidRPr="00A46DC3">
        <w:rPr>
          <w:rFonts w:ascii="Times New Roman" w:hAnsi="Times New Roman" w:cs="Times New Roman"/>
          <w:b/>
          <w:bCs/>
          <w:sz w:val="24"/>
          <w:szCs w:val="24"/>
        </w:rPr>
        <w:t xml:space="preserve"> of Federal Bank</w:t>
      </w:r>
    </w:p>
    <w:tbl>
      <w:tblPr>
        <w:tblStyle w:val="TableGrid"/>
        <w:tblW w:w="0" w:type="auto"/>
        <w:tblLook w:val="04A0" w:firstRow="1" w:lastRow="0" w:firstColumn="1" w:lastColumn="0" w:noHBand="0" w:noVBand="1"/>
      </w:tblPr>
      <w:tblGrid>
        <w:gridCol w:w="4499"/>
        <w:gridCol w:w="4517"/>
      </w:tblGrid>
      <w:tr w:rsidR="00304136" w:rsidRPr="00A46DC3" w14:paraId="7452ED94" w14:textId="77777777" w:rsidTr="000C3A07">
        <w:tc>
          <w:tcPr>
            <w:tcW w:w="4499" w:type="dxa"/>
          </w:tcPr>
          <w:p w14:paraId="33B632A5" w14:textId="3D008E58" w:rsidR="00304136" w:rsidRPr="00A46DC3" w:rsidRDefault="00304136" w:rsidP="00372C2D">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YEAR</w:t>
            </w:r>
          </w:p>
        </w:tc>
        <w:tc>
          <w:tcPr>
            <w:tcW w:w="4517" w:type="dxa"/>
          </w:tcPr>
          <w:p w14:paraId="6FC1AE91" w14:textId="4098EB1D" w:rsidR="00304136" w:rsidRPr="00A46DC3" w:rsidRDefault="00372C2D" w:rsidP="00304136">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CAPITAL ADEQUACY RATIO</w:t>
            </w:r>
          </w:p>
        </w:tc>
      </w:tr>
      <w:tr w:rsidR="00304136" w:rsidRPr="00A46DC3" w14:paraId="5A9A38D5" w14:textId="77777777" w:rsidTr="000C3A07">
        <w:tc>
          <w:tcPr>
            <w:tcW w:w="4499" w:type="dxa"/>
          </w:tcPr>
          <w:p w14:paraId="2C713F2D" w14:textId="51E6B905" w:rsidR="00304136"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w:t>
            </w:r>
            <w:r w:rsidR="00E57E50" w:rsidRPr="00A46DC3">
              <w:rPr>
                <w:rFonts w:ascii="Times New Roman" w:hAnsi="Times New Roman" w:cs="Times New Roman"/>
                <w:sz w:val="24"/>
                <w:szCs w:val="24"/>
              </w:rPr>
              <w:t>9</w:t>
            </w:r>
          </w:p>
        </w:tc>
        <w:tc>
          <w:tcPr>
            <w:tcW w:w="4517" w:type="dxa"/>
          </w:tcPr>
          <w:p w14:paraId="0F91774B" w14:textId="5BA992E3" w:rsidR="00304136" w:rsidRPr="00A46DC3" w:rsidRDefault="003D4144"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w:t>
            </w:r>
            <w:r w:rsidR="007C48A8" w:rsidRPr="00A46DC3">
              <w:rPr>
                <w:rFonts w:ascii="Times New Roman" w:hAnsi="Times New Roman" w:cs="Times New Roman"/>
                <w:sz w:val="24"/>
                <w:szCs w:val="24"/>
              </w:rPr>
              <w:t>14</w:t>
            </w:r>
            <w:r w:rsidRPr="00A46DC3">
              <w:rPr>
                <w:rFonts w:ascii="Times New Roman" w:hAnsi="Times New Roman" w:cs="Times New Roman"/>
                <w:sz w:val="24"/>
                <w:szCs w:val="24"/>
              </w:rPr>
              <w:t>%</w:t>
            </w:r>
          </w:p>
        </w:tc>
      </w:tr>
      <w:tr w:rsidR="00304136" w:rsidRPr="00A46DC3" w14:paraId="03FE71B4" w14:textId="77777777" w:rsidTr="000C3A07">
        <w:tc>
          <w:tcPr>
            <w:tcW w:w="4499" w:type="dxa"/>
          </w:tcPr>
          <w:p w14:paraId="6983333F" w14:textId="147FAFE4" w:rsidR="00304136"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w:t>
            </w:r>
            <w:r w:rsidR="00E57E50" w:rsidRPr="00A46DC3">
              <w:rPr>
                <w:rFonts w:ascii="Times New Roman" w:hAnsi="Times New Roman" w:cs="Times New Roman"/>
                <w:sz w:val="24"/>
                <w:szCs w:val="24"/>
              </w:rPr>
              <w:t>20</w:t>
            </w:r>
          </w:p>
        </w:tc>
        <w:tc>
          <w:tcPr>
            <w:tcW w:w="4517" w:type="dxa"/>
          </w:tcPr>
          <w:p w14:paraId="6951D8FE" w14:textId="648297FF" w:rsidR="00304136" w:rsidRPr="00A46DC3" w:rsidRDefault="00B55398"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w:t>
            </w:r>
            <w:r w:rsidR="007C48A8" w:rsidRPr="00A46DC3">
              <w:rPr>
                <w:rFonts w:ascii="Times New Roman" w:hAnsi="Times New Roman" w:cs="Times New Roman"/>
                <w:sz w:val="24"/>
                <w:szCs w:val="24"/>
              </w:rPr>
              <w:t>35</w:t>
            </w:r>
            <w:r w:rsidRPr="00A46DC3">
              <w:rPr>
                <w:rFonts w:ascii="Times New Roman" w:hAnsi="Times New Roman" w:cs="Times New Roman"/>
                <w:sz w:val="24"/>
                <w:szCs w:val="24"/>
              </w:rPr>
              <w:t>%</w:t>
            </w:r>
          </w:p>
        </w:tc>
      </w:tr>
      <w:tr w:rsidR="00304136" w:rsidRPr="00A46DC3" w14:paraId="0EB3F858" w14:textId="77777777" w:rsidTr="000C3A07">
        <w:tc>
          <w:tcPr>
            <w:tcW w:w="4499" w:type="dxa"/>
          </w:tcPr>
          <w:p w14:paraId="535CA94E" w14:textId="527C9546" w:rsidR="00304136"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w:t>
            </w:r>
            <w:r w:rsidR="00E57E50" w:rsidRPr="00A46DC3">
              <w:rPr>
                <w:rFonts w:ascii="Times New Roman" w:hAnsi="Times New Roman" w:cs="Times New Roman"/>
                <w:sz w:val="24"/>
                <w:szCs w:val="24"/>
              </w:rPr>
              <w:t>21</w:t>
            </w:r>
          </w:p>
        </w:tc>
        <w:tc>
          <w:tcPr>
            <w:tcW w:w="4517" w:type="dxa"/>
          </w:tcPr>
          <w:p w14:paraId="24D807E7" w14:textId="19BF8815" w:rsidR="00304136" w:rsidRPr="00A46DC3" w:rsidRDefault="0014196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w:t>
            </w:r>
            <w:r w:rsidR="007C48A8" w:rsidRPr="00A46DC3">
              <w:rPr>
                <w:rFonts w:ascii="Times New Roman" w:hAnsi="Times New Roman" w:cs="Times New Roman"/>
                <w:sz w:val="24"/>
                <w:szCs w:val="24"/>
              </w:rPr>
              <w:t>62</w:t>
            </w:r>
            <w:r w:rsidRPr="00A46DC3">
              <w:rPr>
                <w:rFonts w:ascii="Times New Roman" w:hAnsi="Times New Roman" w:cs="Times New Roman"/>
                <w:sz w:val="24"/>
                <w:szCs w:val="24"/>
              </w:rPr>
              <w:t>%</w:t>
            </w:r>
          </w:p>
        </w:tc>
      </w:tr>
      <w:tr w:rsidR="00304136" w:rsidRPr="00A46DC3" w14:paraId="554F4D34" w14:textId="77777777" w:rsidTr="000C3A07">
        <w:tc>
          <w:tcPr>
            <w:tcW w:w="4499" w:type="dxa"/>
          </w:tcPr>
          <w:p w14:paraId="294B1020" w14:textId="5361B452" w:rsidR="00304136"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w:t>
            </w:r>
            <w:r w:rsidR="00E57E50" w:rsidRPr="00A46DC3">
              <w:rPr>
                <w:rFonts w:ascii="Times New Roman" w:hAnsi="Times New Roman" w:cs="Times New Roman"/>
                <w:sz w:val="24"/>
                <w:szCs w:val="24"/>
              </w:rPr>
              <w:t>2</w:t>
            </w:r>
          </w:p>
        </w:tc>
        <w:tc>
          <w:tcPr>
            <w:tcW w:w="4517" w:type="dxa"/>
          </w:tcPr>
          <w:p w14:paraId="3FB67264" w14:textId="2EB31F78" w:rsidR="00304136" w:rsidRPr="00A46DC3" w:rsidRDefault="0014196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w:t>
            </w:r>
            <w:r w:rsidR="00E270BD" w:rsidRPr="00A46DC3">
              <w:rPr>
                <w:rFonts w:ascii="Times New Roman" w:hAnsi="Times New Roman" w:cs="Times New Roman"/>
                <w:sz w:val="24"/>
                <w:szCs w:val="24"/>
              </w:rPr>
              <w:t>5</w:t>
            </w:r>
            <w:r w:rsidRPr="00A46DC3">
              <w:rPr>
                <w:rFonts w:ascii="Times New Roman" w:hAnsi="Times New Roman" w:cs="Times New Roman"/>
                <w:sz w:val="24"/>
                <w:szCs w:val="24"/>
              </w:rPr>
              <w:t>.</w:t>
            </w:r>
            <w:r w:rsidR="00E270BD" w:rsidRPr="00A46DC3">
              <w:rPr>
                <w:rFonts w:ascii="Times New Roman" w:hAnsi="Times New Roman" w:cs="Times New Roman"/>
                <w:sz w:val="24"/>
                <w:szCs w:val="24"/>
              </w:rPr>
              <w:t>77</w:t>
            </w:r>
            <w:r w:rsidRPr="00A46DC3">
              <w:rPr>
                <w:rFonts w:ascii="Times New Roman" w:hAnsi="Times New Roman" w:cs="Times New Roman"/>
                <w:sz w:val="24"/>
                <w:szCs w:val="24"/>
              </w:rPr>
              <w:t>%</w:t>
            </w:r>
          </w:p>
        </w:tc>
      </w:tr>
      <w:tr w:rsidR="00304136" w:rsidRPr="00A46DC3" w14:paraId="102A97B9" w14:textId="77777777" w:rsidTr="000C3A07">
        <w:tc>
          <w:tcPr>
            <w:tcW w:w="4499" w:type="dxa"/>
          </w:tcPr>
          <w:p w14:paraId="5E51ACCA" w14:textId="17F5906B" w:rsidR="00304136"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w:t>
            </w:r>
            <w:r w:rsidR="00E57E50" w:rsidRPr="00A46DC3">
              <w:rPr>
                <w:rFonts w:ascii="Times New Roman" w:hAnsi="Times New Roman" w:cs="Times New Roman"/>
                <w:sz w:val="24"/>
                <w:szCs w:val="24"/>
              </w:rPr>
              <w:t>3</w:t>
            </w:r>
          </w:p>
        </w:tc>
        <w:tc>
          <w:tcPr>
            <w:tcW w:w="4517" w:type="dxa"/>
          </w:tcPr>
          <w:p w14:paraId="7E5EA69C" w14:textId="0A55EC26" w:rsidR="00304136" w:rsidRPr="00A46DC3" w:rsidRDefault="00A56AEA"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w:t>
            </w:r>
            <w:r w:rsidR="00E270BD" w:rsidRPr="00A46DC3">
              <w:rPr>
                <w:rFonts w:ascii="Times New Roman" w:hAnsi="Times New Roman" w:cs="Times New Roman"/>
                <w:sz w:val="24"/>
                <w:szCs w:val="24"/>
              </w:rPr>
              <w:t>81</w:t>
            </w:r>
            <w:r w:rsidRPr="00A46DC3">
              <w:rPr>
                <w:rFonts w:ascii="Times New Roman" w:hAnsi="Times New Roman" w:cs="Times New Roman"/>
                <w:sz w:val="24"/>
                <w:szCs w:val="24"/>
              </w:rPr>
              <w:t>%</w:t>
            </w:r>
          </w:p>
        </w:tc>
      </w:tr>
      <w:tr w:rsidR="00372C2D" w:rsidRPr="00A46DC3" w14:paraId="4D4EEAFC" w14:textId="77777777" w:rsidTr="000C3A07">
        <w:tc>
          <w:tcPr>
            <w:tcW w:w="4499" w:type="dxa"/>
          </w:tcPr>
          <w:p w14:paraId="0ED3A1F4" w14:textId="42880FE7" w:rsidR="00372C2D" w:rsidRPr="00A46DC3" w:rsidRDefault="00372C2D"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w:t>
            </w:r>
            <w:r w:rsidR="00E57E50" w:rsidRPr="00A46DC3">
              <w:rPr>
                <w:rFonts w:ascii="Times New Roman" w:hAnsi="Times New Roman" w:cs="Times New Roman"/>
                <w:sz w:val="24"/>
                <w:szCs w:val="24"/>
              </w:rPr>
              <w:t>4</w:t>
            </w:r>
          </w:p>
        </w:tc>
        <w:tc>
          <w:tcPr>
            <w:tcW w:w="4517" w:type="dxa"/>
          </w:tcPr>
          <w:p w14:paraId="67F8C29D" w14:textId="6C0089B5" w:rsidR="00372C2D" w:rsidRPr="00A46DC3" w:rsidRDefault="00A56AEA" w:rsidP="00372C2D">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w:t>
            </w:r>
            <w:r w:rsidR="00E270BD" w:rsidRPr="00A46DC3">
              <w:rPr>
                <w:rFonts w:ascii="Times New Roman" w:hAnsi="Times New Roman" w:cs="Times New Roman"/>
                <w:sz w:val="24"/>
                <w:szCs w:val="24"/>
              </w:rPr>
              <w:t>6</w:t>
            </w:r>
            <w:r w:rsidRPr="00A46DC3">
              <w:rPr>
                <w:rFonts w:ascii="Times New Roman" w:hAnsi="Times New Roman" w:cs="Times New Roman"/>
                <w:sz w:val="24"/>
                <w:szCs w:val="24"/>
              </w:rPr>
              <w:t>.</w:t>
            </w:r>
            <w:r w:rsidR="00E270BD" w:rsidRPr="00A46DC3">
              <w:rPr>
                <w:rFonts w:ascii="Times New Roman" w:hAnsi="Times New Roman" w:cs="Times New Roman"/>
                <w:sz w:val="24"/>
                <w:szCs w:val="24"/>
              </w:rPr>
              <w:t>13</w:t>
            </w:r>
            <w:r w:rsidRPr="00A46DC3">
              <w:rPr>
                <w:rFonts w:ascii="Times New Roman" w:hAnsi="Times New Roman" w:cs="Times New Roman"/>
                <w:sz w:val="24"/>
                <w:szCs w:val="24"/>
              </w:rPr>
              <w:t>%</w:t>
            </w:r>
          </w:p>
        </w:tc>
      </w:tr>
    </w:tbl>
    <w:p w14:paraId="3C26A508" w14:textId="77777777" w:rsidR="00B76492" w:rsidRPr="00A46DC3" w:rsidRDefault="00B76492" w:rsidP="00B76492">
      <w:pPr>
        <w:tabs>
          <w:tab w:val="left" w:pos="5304"/>
        </w:tabs>
        <w:rPr>
          <w:rFonts w:ascii="Times New Roman" w:hAnsi="Times New Roman" w:cs="Times New Roman"/>
          <w:b/>
          <w:bCs/>
          <w:sz w:val="24"/>
          <w:szCs w:val="24"/>
        </w:rPr>
      </w:pPr>
    </w:p>
    <w:p w14:paraId="0407E537" w14:textId="73476F86" w:rsidR="00943996" w:rsidRPr="00A46DC3" w:rsidRDefault="00B76492" w:rsidP="00B76492">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4.3: Showing the Capital Adequacy Ratio of Federal Bank</w:t>
      </w:r>
    </w:p>
    <w:p w14:paraId="3CC696B9" w14:textId="45B3210E" w:rsidR="000C3A07" w:rsidRPr="00A46DC3" w:rsidRDefault="00943996" w:rsidP="000C3A07">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0B5B947F" wp14:editId="4EC0FD3B">
            <wp:extent cx="4572000" cy="2743200"/>
            <wp:effectExtent l="0" t="0" r="0" b="0"/>
            <wp:docPr id="52854541" name="Chart 1">
              <a:extLst xmlns:a="http://schemas.openxmlformats.org/drawingml/2006/main">
                <a:ext uri="{FF2B5EF4-FFF2-40B4-BE49-F238E27FC236}">
                  <a16:creationId xmlns:a16="http://schemas.microsoft.com/office/drawing/2014/main" id="{C65E5EAB-33E5-5C3C-D9EB-E93BF827C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C128881" w14:textId="30537E44" w:rsidR="005D4FDF" w:rsidRPr="00A46DC3" w:rsidRDefault="0081107D" w:rsidP="005D4FDF">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The </w:t>
      </w:r>
      <w:r w:rsidRPr="00A46DC3">
        <w:rPr>
          <w:rFonts w:ascii="Times New Roman" w:hAnsi="Times New Roman" w:cs="Times New Roman"/>
          <w:b/>
          <w:bCs/>
          <w:sz w:val="24"/>
          <w:szCs w:val="24"/>
        </w:rPr>
        <w:t>Capital Adequacy Ratio</w:t>
      </w:r>
      <w:r w:rsidRPr="00A46DC3">
        <w:rPr>
          <w:rFonts w:ascii="Times New Roman" w:hAnsi="Times New Roman" w:cs="Times New Roman"/>
          <w:sz w:val="24"/>
          <w:szCs w:val="24"/>
        </w:rPr>
        <w:t xml:space="preserve"> has generally been </w:t>
      </w:r>
      <w:r w:rsidRPr="00A46DC3">
        <w:rPr>
          <w:rFonts w:ascii="Times New Roman" w:hAnsi="Times New Roman" w:cs="Times New Roman"/>
          <w:b/>
          <w:bCs/>
          <w:sz w:val="24"/>
          <w:szCs w:val="24"/>
        </w:rPr>
        <w:t>above the regulatory minimum</w:t>
      </w:r>
      <w:r w:rsidRPr="00A46DC3">
        <w:rPr>
          <w:rFonts w:ascii="Times New Roman" w:hAnsi="Times New Roman" w:cs="Times New Roman"/>
          <w:sz w:val="24"/>
          <w:szCs w:val="24"/>
        </w:rPr>
        <w:t xml:space="preserve"> (typically around 9%-12% depending on the region), indicating that Federal Bank has maintained a strong capital buffer to cover potential risks. A higher CAR means that the bank has a greater capacity to absorb losses, which is important for both </w:t>
      </w:r>
      <w:r w:rsidRPr="00A46DC3">
        <w:rPr>
          <w:rFonts w:ascii="Times New Roman" w:hAnsi="Times New Roman" w:cs="Times New Roman"/>
          <w:b/>
          <w:bCs/>
          <w:sz w:val="24"/>
          <w:szCs w:val="24"/>
        </w:rPr>
        <w:t>regulatory compliance</w:t>
      </w:r>
      <w:r w:rsidRPr="00A46DC3">
        <w:rPr>
          <w:rFonts w:ascii="Times New Roman" w:hAnsi="Times New Roman" w:cs="Times New Roman"/>
          <w:sz w:val="24"/>
          <w:szCs w:val="24"/>
        </w:rPr>
        <w:t xml:space="preserve"> and </w:t>
      </w:r>
      <w:r w:rsidRPr="00A46DC3">
        <w:rPr>
          <w:rFonts w:ascii="Times New Roman" w:hAnsi="Times New Roman" w:cs="Times New Roman"/>
          <w:b/>
          <w:bCs/>
          <w:sz w:val="24"/>
          <w:szCs w:val="24"/>
        </w:rPr>
        <w:t>financial stability</w:t>
      </w:r>
      <w:r w:rsidRPr="00A46DC3">
        <w:rPr>
          <w:rFonts w:ascii="Times New Roman" w:hAnsi="Times New Roman" w:cs="Times New Roman"/>
          <w:sz w:val="24"/>
          <w:szCs w:val="24"/>
        </w:rPr>
        <w:t xml:space="preserve">. From </w:t>
      </w:r>
      <w:r w:rsidRPr="00A46DC3">
        <w:rPr>
          <w:rFonts w:ascii="Times New Roman" w:hAnsi="Times New Roman" w:cs="Times New Roman"/>
          <w:b/>
          <w:bCs/>
          <w:sz w:val="24"/>
          <w:szCs w:val="24"/>
        </w:rPr>
        <w:t>14.14% in 2019</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16.13% in 2024</w:t>
      </w:r>
      <w:r w:rsidRPr="00A46DC3">
        <w:rPr>
          <w:rFonts w:ascii="Times New Roman" w:hAnsi="Times New Roman" w:cs="Times New Roman"/>
          <w:sz w:val="24"/>
          <w:szCs w:val="24"/>
        </w:rPr>
        <w:t xml:space="preserve">, the </w:t>
      </w:r>
      <w:r w:rsidRPr="00A46DC3">
        <w:rPr>
          <w:rFonts w:ascii="Times New Roman" w:hAnsi="Times New Roman" w:cs="Times New Roman"/>
          <w:b/>
          <w:bCs/>
          <w:sz w:val="24"/>
          <w:szCs w:val="24"/>
        </w:rPr>
        <w:t>CAR</w:t>
      </w:r>
      <w:r w:rsidRPr="00A46DC3">
        <w:rPr>
          <w:rFonts w:ascii="Times New Roman" w:hAnsi="Times New Roman" w:cs="Times New Roman"/>
          <w:sz w:val="24"/>
          <w:szCs w:val="24"/>
        </w:rPr>
        <w:t xml:space="preserve"> has shown an upward trend overall, which is a positive indicator. The increase in CAR suggests that Federal Bank has been strengthening its capital position, either by retaining earnings or issuing new equity, and is becoming more resilient to financial shocks. </w:t>
      </w:r>
      <w:r w:rsidR="005D4FDF" w:rsidRPr="00A46DC3">
        <w:rPr>
          <w:rFonts w:ascii="Times New Roman" w:hAnsi="Times New Roman" w:cs="Times New Roman"/>
          <w:sz w:val="24"/>
          <w:szCs w:val="24"/>
        </w:rPr>
        <w:t xml:space="preserve">In </w:t>
      </w:r>
      <w:r w:rsidR="005D4FDF" w:rsidRPr="00A46DC3">
        <w:rPr>
          <w:rFonts w:ascii="Times New Roman" w:hAnsi="Times New Roman" w:cs="Times New Roman"/>
          <w:b/>
          <w:bCs/>
          <w:sz w:val="24"/>
          <w:szCs w:val="24"/>
        </w:rPr>
        <w:t>2020</w:t>
      </w:r>
      <w:r w:rsidR="005D4FDF" w:rsidRPr="00A46DC3">
        <w:rPr>
          <w:rFonts w:ascii="Times New Roman" w:hAnsi="Times New Roman" w:cs="Times New Roman"/>
          <w:sz w:val="24"/>
          <w:szCs w:val="24"/>
        </w:rPr>
        <w:t xml:space="preserve">, there is a slight increase to </w:t>
      </w:r>
      <w:r w:rsidR="005D4FDF" w:rsidRPr="00A46DC3">
        <w:rPr>
          <w:rFonts w:ascii="Times New Roman" w:hAnsi="Times New Roman" w:cs="Times New Roman"/>
          <w:b/>
          <w:bCs/>
          <w:sz w:val="24"/>
          <w:szCs w:val="24"/>
        </w:rPr>
        <w:t>14.35%</w:t>
      </w:r>
      <w:r w:rsidR="005D4FDF" w:rsidRPr="00A46DC3">
        <w:rPr>
          <w:rFonts w:ascii="Times New Roman" w:hAnsi="Times New Roman" w:cs="Times New Roman"/>
          <w:sz w:val="24"/>
          <w:szCs w:val="24"/>
        </w:rPr>
        <w:t xml:space="preserve">, followed by </w:t>
      </w:r>
      <w:r w:rsidR="005D4FDF" w:rsidRPr="00A46DC3">
        <w:rPr>
          <w:rFonts w:ascii="Times New Roman" w:hAnsi="Times New Roman" w:cs="Times New Roman"/>
          <w:b/>
          <w:bCs/>
          <w:sz w:val="24"/>
          <w:szCs w:val="24"/>
        </w:rPr>
        <w:t>14.62% in 2021</w:t>
      </w:r>
      <w:r w:rsidR="005D4FDF" w:rsidRPr="00A46DC3">
        <w:rPr>
          <w:rFonts w:ascii="Times New Roman" w:hAnsi="Times New Roman" w:cs="Times New Roman"/>
          <w:sz w:val="24"/>
          <w:szCs w:val="24"/>
        </w:rPr>
        <w:t xml:space="preserve">. The steady increase in these years, especially after the challenges posed by the </w:t>
      </w:r>
      <w:r w:rsidR="005D4FDF" w:rsidRPr="00A46DC3">
        <w:rPr>
          <w:rFonts w:ascii="Times New Roman" w:hAnsi="Times New Roman" w:cs="Times New Roman"/>
          <w:b/>
          <w:bCs/>
          <w:sz w:val="24"/>
          <w:szCs w:val="24"/>
        </w:rPr>
        <w:t>COVID-19 pandemic</w:t>
      </w:r>
      <w:r w:rsidR="005D4FDF" w:rsidRPr="00A46DC3">
        <w:rPr>
          <w:rFonts w:ascii="Times New Roman" w:hAnsi="Times New Roman" w:cs="Times New Roman"/>
          <w:sz w:val="24"/>
          <w:szCs w:val="24"/>
        </w:rPr>
        <w:t xml:space="preserve">, shows that the bank managed to maintain a stable capital position during uncertain times. </w:t>
      </w:r>
    </w:p>
    <w:p w14:paraId="06290363" w14:textId="03428D69" w:rsidR="005D3031" w:rsidRPr="00A46DC3" w:rsidRDefault="005D4FDF" w:rsidP="00AE6E3B">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The </w:t>
      </w:r>
      <w:r w:rsidRPr="00A46DC3">
        <w:rPr>
          <w:rFonts w:ascii="Times New Roman" w:hAnsi="Times New Roman" w:cs="Times New Roman"/>
          <w:b/>
          <w:bCs/>
          <w:sz w:val="24"/>
          <w:szCs w:val="24"/>
        </w:rPr>
        <w:t>increase in 2022</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15.77%</w:t>
      </w:r>
      <w:r w:rsidRPr="00A46DC3">
        <w:rPr>
          <w:rFonts w:ascii="Times New Roman" w:hAnsi="Times New Roman" w:cs="Times New Roman"/>
          <w:sz w:val="24"/>
          <w:szCs w:val="24"/>
        </w:rPr>
        <w:t xml:space="preserve"> might reflect the bank's efforts to bolster its capital further, possibly in response to expanding its loan portfolio and strengthening its risk management after the pandemic. In </w:t>
      </w:r>
      <w:r w:rsidRPr="00A46DC3">
        <w:rPr>
          <w:rFonts w:ascii="Times New Roman" w:hAnsi="Times New Roman" w:cs="Times New Roman"/>
          <w:b/>
          <w:bCs/>
          <w:sz w:val="24"/>
          <w:szCs w:val="24"/>
        </w:rPr>
        <w:t>2023</w:t>
      </w:r>
      <w:r w:rsidRPr="00A46DC3">
        <w:rPr>
          <w:rFonts w:ascii="Times New Roman" w:hAnsi="Times New Roman" w:cs="Times New Roman"/>
          <w:sz w:val="24"/>
          <w:szCs w:val="24"/>
        </w:rPr>
        <w:t xml:space="preserve">, there is a slight decline to </w:t>
      </w:r>
      <w:r w:rsidRPr="00A46DC3">
        <w:rPr>
          <w:rFonts w:ascii="Times New Roman" w:hAnsi="Times New Roman" w:cs="Times New Roman"/>
          <w:b/>
          <w:bCs/>
          <w:sz w:val="24"/>
          <w:szCs w:val="24"/>
        </w:rPr>
        <w:t>14.81%</w:t>
      </w:r>
      <w:r w:rsidRPr="00A46DC3">
        <w:rPr>
          <w:rFonts w:ascii="Times New Roman" w:hAnsi="Times New Roman" w:cs="Times New Roman"/>
          <w:sz w:val="24"/>
          <w:szCs w:val="24"/>
        </w:rPr>
        <w:t xml:space="preserve">, but it is still relatively strong and above the 14% mark. In </w:t>
      </w:r>
      <w:r w:rsidRPr="00A46DC3">
        <w:rPr>
          <w:rFonts w:ascii="Times New Roman" w:hAnsi="Times New Roman" w:cs="Times New Roman"/>
          <w:b/>
          <w:bCs/>
          <w:sz w:val="24"/>
          <w:szCs w:val="24"/>
        </w:rPr>
        <w:t>2024</w:t>
      </w:r>
      <w:r w:rsidRPr="00A46DC3">
        <w:rPr>
          <w:rFonts w:ascii="Times New Roman" w:hAnsi="Times New Roman" w:cs="Times New Roman"/>
          <w:sz w:val="24"/>
          <w:szCs w:val="24"/>
        </w:rPr>
        <w:t xml:space="preserve">, the </w:t>
      </w:r>
      <w:r w:rsidRPr="00A46DC3">
        <w:rPr>
          <w:rFonts w:ascii="Times New Roman" w:hAnsi="Times New Roman" w:cs="Times New Roman"/>
          <w:b/>
          <w:bCs/>
          <w:sz w:val="24"/>
          <w:szCs w:val="24"/>
        </w:rPr>
        <w:t>CAR</w:t>
      </w:r>
      <w:r w:rsidRPr="00A46DC3">
        <w:rPr>
          <w:rFonts w:ascii="Times New Roman" w:hAnsi="Times New Roman" w:cs="Times New Roman"/>
          <w:sz w:val="24"/>
          <w:szCs w:val="24"/>
        </w:rPr>
        <w:t xml:space="preserve"> again increases to </w:t>
      </w:r>
      <w:r w:rsidRPr="00A46DC3">
        <w:rPr>
          <w:rFonts w:ascii="Times New Roman" w:hAnsi="Times New Roman" w:cs="Times New Roman"/>
          <w:b/>
          <w:bCs/>
          <w:sz w:val="24"/>
          <w:szCs w:val="24"/>
        </w:rPr>
        <w:t>16.13%</w:t>
      </w:r>
      <w:r w:rsidRPr="00A46DC3">
        <w:rPr>
          <w:rFonts w:ascii="Times New Roman" w:hAnsi="Times New Roman" w:cs="Times New Roman"/>
          <w:sz w:val="24"/>
          <w:szCs w:val="24"/>
        </w:rPr>
        <w:t>, suggesting that Federal Bank has continued its focus on maintaining a healthy capital cushion, which is good for managing risks and supporting business growth.</w:t>
      </w:r>
    </w:p>
    <w:p w14:paraId="061F767B" w14:textId="0B39D640" w:rsidR="000C3A07" w:rsidRPr="00A46DC3" w:rsidRDefault="000C3A07" w:rsidP="000C3A0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4</w:t>
      </w:r>
      <w:r w:rsidRPr="00A46DC3">
        <w:rPr>
          <w:rFonts w:ascii="Times New Roman" w:hAnsi="Times New Roman" w:cs="Times New Roman"/>
          <w:b/>
          <w:bCs/>
          <w:sz w:val="24"/>
          <w:szCs w:val="24"/>
        </w:rPr>
        <w:t>. Movement of Gross NPA and Net NPA</w:t>
      </w:r>
    </w:p>
    <w:p w14:paraId="0010FC91" w14:textId="6D5CE7FC" w:rsidR="000C3A07" w:rsidRPr="00A46DC3" w:rsidRDefault="000C3A07" w:rsidP="000C3A0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4</w:t>
      </w:r>
      <w:r w:rsidRPr="00A46DC3">
        <w:rPr>
          <w:rFonts w:ascii="Times New Roman" w:hAnsi="Times New Roman" w:cs="Times New Roman"/>
          <w:b/>
          <w:bCs/>
          <w:sz w:val="24"/>
          <w:szCs w:val="24"/>
        </w:rPr>
        <w:t>: Showing the comparison of Gross NPA and Net NPA of Federal Bank (Rs. in cr)</w:t>
      </w:r>
    </w:p>
    <w:tbl>
      <w:tblPr>
        <w:tblStyle w:val="TableGrid"/>
        <w:tblW w:w="0" w:type="auto"/>
        <w:tblLook w:val="04A0" w:firstRow="1" w:lastRow="0" w:firstColumn="1" w:lastColumn="0" w:noHBand="0" w:noVBand="1"/>
      </w:tblPr>
      <w:tblGrid>
        <w:gridCol w:w="3000"/>
        <w:gridCol w:w="3008"/>
        <w:gridCol w:w="3008"/>
      </w:tblGrid>
      <w:tr w:rsidR="00383769" w:rsidRPr="00A46DC3" w14:paraId="1DA817F1" w14:textId="77777777" w:rsidTr="00EA1655">
        <w:tc>
          <w:tcPr>
            <w:tcW w:w="3080" w:type="dxa"/>
          </w:tcPr>
          <w:p w14:paraId="06FE49DF" w14:textId="77777777" w:rsidR="00383769" w:rsidRPr="00A46DC3" w:rsidRDefault="00383769"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YEAR</w:t>
            </w:r>
          </w:p>
        </w:tc>
        <w:tc>
          <w:tcPr>
            <w:tcW w:w="3081" w:type="dxa"/>
          </w:tcPr>
          <w:p w14:paraId="6464A19D" w14:textId="77777777" w:rsidR="00383769" w:rsidRPr="00A46DC3" w:rsidRDefault="00383769"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GROSS NPA</w:t>
            </w:r>
          </w:p>
        </w:tc>
        <w:tc>
          <w:tcPr>
            <w:tcW w:w="3081" w:type="dxa"/>
          </w:tcPr>
          <w:p w14:paraId="0398F2D2" w14:textId="77777777" w:rsidR="00383769" w:rsidRPr="00A46DC3" w:rsidRDefault="00383769"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NET NPA</w:t>
            </w:r>
          </w:p>
        </w:tc>
      </w:tr>
      <w:tr w:rsidR="00383769" w:rsidRPr="00A46DC3" w14:paraId="3208556A" w14:textId="77777777" w:rsidTr="00EA1655">
        <w:tc>
          <w:tcPr>
            <w:tcW w:w="3080" w:type="dxa"/>
          </w:tcPr>
          <w:p w14:paraId="54AB2E20"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2019</w:t>
            </w:r>
          </w:p>
        </w:tc>
        <w:tc>
          <w:tcPr>
            <w:tcW w:w="3081" w:type="dxa"/>
          </w:tcPr>
          <w:p w14:paraId="46155698"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3,530.83</w:t>
            </w:r>
          </w:p>
        </w:tc>
        <w:tc>
          <w:tcPr>
            <w:tcW w:w="3081" w:type="dxa"/>
          </w:tcPr>
          <w:p w14:paraId="3BA7DE4F"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1,607.17</w:t>
            </w:r>
          </w:p>
        </w:tc>
      </w:tr>
      <w:tr w:rsidR="00383769" w:rsidRPr="00A46DC3" w14:paraId="76C7DCD3" w14:textId="77777777" w:rsidTr="00EA1655">
        <w:tc>
          <w:tcPr>
            <w:tcW w:w="3080" w:type="dxa"/>
          </w:tcPr>
          <w:p w14:paraId="04C19FC0"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2020</w:t>
            </w:r>
          </w:p>
        </w:tc>
        <w:tc>
          <w:tcPr>
            <w:tcW w:w="3081" w:type="dxa"/>
          </w:tcPr>
          <w:p w14:paraId="131A2CDE"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4,602.39</w:t>
            </w:r>
          </w:p>
        </w:tc>
        <w:tc>
          <w:tcPr>
            <w:tcW w:w="3081" w:type="dxa"/>
          </w:tcPr>
          <w:p w14:paraId="6E380940"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1,569.28</w:t>
            </w:r>
          </w:p>
        </w:tc>
      </w:tr>
      <w:tr w:rsidR="00383769" w:rsidRPr="00A46DC3" w14:paraId="3B1F7402" w14:textId="77777777" w:rsidTr="00EA1655">
        <w:tc>
          <w:tcPr>
            <w:tcW w:w="3080" w:type="dxa"/>
          </w:tcPr>
          <w:p w14:paraId="6C6F7F2A"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2021</w:t>
            </w:r>
          </w:p>
        </w:tc>
        <w:tc>
          <w:tcPr>
            <w:tcW w:w="3081" w:type="dxa"/>
          </w:tcPr>
          <w:p w14:paraId="0C6E597C"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4,136.74</w:t>
            </w:r>
          </w:p>
        </w:tc>
        <w:tc>
          <w:tcPr>
            <w:tcW w:w="3081" w:type="dxa"/>
          </w:tcPr>
          <w:p w14:paraId="006B9AD4"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1,392.62</w:t>
            </w:r>
          </w:p>
        </w:tc>
      </w:tr>
      <w:tr w:rsidR="00383769" w:rsidRPr="00A46DC3" w14:paraId="197312B4" w14:textId="77777777" w:rsidTr="00EA1655">
        <w:tc>
          <w:tcPr>
            <w:tcW w:w="3080" w:type="dxa"/>
          </w:tcPr>
          <w:p w14:paraId="40B24506"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2022</w:t>
            </w:r>
          </w:p>
        </w:tc>
        <w:tc>
          <w:tcPr>
            <w:tcW w:w="3081" w:type="dxa"/>
          </w:tcPr>
          <w:p w14:paraId="120EC363"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4,183.77</w:t>
            </w:r>
          </w:p>
        </w:tc>
        <w:tc>
          <w:tcPr>
            <w:tcW w:w="3081" w:type="dxa"/>
          </w:tcPr>
          <w:p w14:paraId="5B6A5606"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1,205.01</w:t>
            </w:r>
          </w:p>
        </w:tc>
      </w:tr>
      <w:tr w:rsidR="00383769" w:rsidRPr="00A46DC3" w14:paraId="0BF4C57F" w14:textId="77777777" w:rsidTr="00EA1655">
        <w:tc>
          <w:tcPr>
            <w:tcW w:w="3080" w:type="dxa"/>
          </w:tcPr>
          <w:p w14:paraId="6EA133CB"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2023</w:t>
            </w:r>
          </w:p>
        </w:tc>
        <w:tc>
          <w:tcPr>
            <w:tcW w:w="3081" w:type="dxa"/>
          </w:tcPr>
          <w:p w14:paraId="394CD9A0"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4,528.87</w:t>
            </w:r>
          </w:p>
        </w:tc>
        <w:tc>
          <w:tcPr>
            <w:tcW w:w="3081" w:type="dxa"/>
          </w:tcPr>
          <w:p w14:paraId="544591BC"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1,255.33</w:t>
            </w:r>
          </w:p>
        </w:tc>
      </w:tr>
      <w:tr w:rsidR="00383769" w:rsidRPr="00A46DC3" w14:paraId="6CFBC0AC" w14:textId="77777777" w:rsidTr="00EA1655">
        <w:tc>
          <w:tcPr>
            <w:tcW w:w="3080" w:type="dxa"/>
          </w:tcPr>
          <w:p w14:paraId="484957B4" w14:textId="77777777" w:rsidR="00383769" w:rsidRPr="00A46DC3" w:rsidRDefault="00383769"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2024</w:t>
            </w:r>
          </w:p>
        </w:tc>
        <w:tc>
          <w:tcPr>
            <w:tcW w:w="3081" w:type="dxa"/>
          </w:tcPr>
          <w:p w14:paraId="40B66191"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4,529.00</w:t>
            </w:r>
          </w:p>
        </w:tc>
        <w:tc>
          <w:tcPr>
            <w:tcW w:w="3081" w:type="dxa"/>
          </w:tcPr>
          <w:p w14:paraId="2FC9D4F6" w14:textId="77777777" w:rsidR="00383769" w:rsidRPr="00A46DC3" w:rsidRDefault="00383769"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1,255.00</w:t>
            </w:r>
          </w:p>
        </w:tc>
      </w:tr>
    </w:tbl>
    <w:p w14:paraId="60D8D519" w14:textId="77777777" w:rsidR="00383769" w:rsidRPr="00A46DC3" w:rsidRDefault="00383769" w:rsidP="000C3A07">
      <w:pPr>
        <w:tabs>
          <w:tab w:val="left" w:pos="5304"/>
        </w:tabs>
        <w:rPr>
          <w:rFonts w:ascii="Times New Roman" w:hAnsi="Times New Roman" w:cs="Times New Roman"/>
          <w:b/>
          <w:bCs/>
          <w:sz w:val="24"/>
          <w:szCs w:val="24"/>
        </w:rPr>
      </w:pPr>
    </w:p>
    <w:p w14:paraId="577CB849" w14:textId="0CFC2C95" w:rsidR="00B76492" w:rsidRPr="00A46DC3" w:rsidRDefault="00B76492" w:rsidP="00B76492">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Figure 4.4: Showing the comparison of Gross NPA and Net NPA of Federal Bank </w:t>
      </w:r>
    </w:p>
    <w:p w14:paraId="16CF994A" w14:textId="09AFE548" w:rsidR="00BA54AF" w:rsidRPr="00A46DC3" w:rsidRDefault="00BA54AF" w:rsidP="000C3A07">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3BFBA8F0" wp14:editId="7C78533F">
            <wp:extent cx="5284922" cy="3288030"/>
            <wp:effectExtent l="0" t="0" r="11430" b="7620"/>
            <wp:docPr id="1315061816" name="Chart 1">
              <a:extLst xmlns:a="http://schemas.openxmlformats.org/drawingml/2006/main">
                <a:ext uri="{FF2B5EF4-FFF2-40B4-BE49-F238E27FC236}">
                  <a16:creationId xmlns:a16="http://schemas.microsoft.com/office/drawing/2014/main" id="{12600D35-1054-7EEE-EF73-82F8D1C10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B6AA080" w14:textId="6A22B95B" w:rsidR="000C3A07" w:rsidRPr="00A46DC3" w:rsidRDefault="002063E9" w:rsidP="000F409A">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has fluctuated over the years, with a significant rise in </w:t>
      </w:r>
      <w:r w:rsidRPr="00A46DC3">
        <w:rPr>
          <w:rFonts w:ascii="Times New Roman" w:hAnsi="Times New Roman" w:cs="Times New Roman"/>
          <w:b/>
          <w:bCs/>
          <w:sz w:val="24"/>
          <w:szCs w:val="24"/>
        </w:rPr>
        <w:t>2020</w:t>
      </w:r>
      <w:r w:rsidRPr="00A46DC3">
        <w:rPr>
          <w:rFonts w:ascii="Times New Roman" w:hAnsi="Times New Roman" w:cs="Times New Roman"/>
          <w:sz w:val="24"/>
          <w:szCs w:val="24"/>
        </w:rPr>
        <w:t xml:space="preserve"> (₹4,602.39 crore), likely due to the impact of the </w:t>
      </w:r>
      <w:r w:rsidRPr="00A46DC3">
        <w:rPr>
          <w:rFonts w:ascii="Times New Roman" w:hAnsi="Times New Roman" w:cs="Times New Roman"/>
          <w:b/>
          <w:bCs/>
          <w:sz w:val="24"/>
          <w:szCs w:val="24"/>
        </w:rPr>
        <w:t>COVID-19 pandemic</w:t>
      </w:r>
      <w:r w:rsidRPr="00A46DC3">
        <w:rPr>
          <w:rFonts w:ascii="Times New Roman" w:hAnsi="Times New Roman" w:cs="Times New Roman"/>
          <w:sz w:val="24"/>
          <w:szCs w:val="24"/>
        </w:rPr>
        <w:t xml:space="preserve">, which led to a higher number of loan defaults. However, after 2020,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decreased in </w:t>
      </w:r>
      <w:r w:rsidRPr="00A46DC3">
        <w:rPr>
          <w:rFonts w:ascii="Times New Roman" w:hAnsi="Times New Roman" w:cs="Times New Roman"/>
          <w:b/>
          <w:bCs/>
          <w:sz w:val="24"/>
          <w:szCs w:val="24"/>
        </w:rPr>
        <w:t>2021</w:t>
      </w:r>
      <w:r w:rsidRPr="00A46DC3">
        <w:rPr>
          <w:rFonts w:ascii="Times New Roman" w:hAnsi="Times New Roman" w:cs="Times New Roman"/>
          <w:sz w:val="24"/>
          <w:szCs w:val="24"/>
        </w:rPr>
        <w:t xml:space="preserve"> and </w:t>
      </w:r>
      <w:r w:rsidRPr="00A46DC3">
        <w:rPr>
          <w:rFonts w:ascii="Times New Roman" w:hAnsi="Times New Roman" w:cs="Times New Roman"/>
          <w:b/>
          <w:bCs/>
          <w:sz w:val="24"/>
          <w:szCs w:val="24"/>
        </w:rPr>
        <w:t>2022</w:t>
      </w:r>
      <w:r w:rsidRPr="00A46DC3">
        <w:rPr>
          <w:rFonts w:ascii="Times New Roman" w:hAnsi="Times New Roman" w:cs="Times New Roman"/>
          <w:sz w:val="24"/>
          <w:szCs w:val="24"/>
        </w:rPr>
        <w:t xml:space="preserve">, reflecting the bank’s ability to reduce bad loans or improve recoveries. In </w:t>
      </w:r>
      <w:r w:rsidRPr="00A46DC3">
        <w:rPr>
          <w:rFonts w:ascii="Times New Roman" w:hAnsi="Times New Roman" w:cs="Times New Roman"/>
          <w:b/>
          <w:bCs/>
          <w:sz w:val="24"/>
          <w:szCs w:val="24"/>
        </w:rPr>
        <w:t>2023</w:t>
      </w:r>
      <w:r w:rsidRPr="00A46DC3">
        <w:rPr>
          <w:rFonts w:ascii="Times New Roman" w:hAnsi="Times New Roman" w:cs="Times New Roman"/>
          <w:sz w:val="24"/>
          <w:szCs w:val="24"/>
        </w:rPr>
        <w:t xml:space="preserve"> and </w:t>
      </w:r>
      <w:r w:rsidRPr="00A46DC3">
        <w:rPr>
          <w:rFonts w:ascii="Times New Roman" w:hAnsi="Times New Roman" w:cs="Times New Roman"/>
          <w:b/>
          <w:bCs/>
          <w:sz w:val="24"/>
          <w:szCs w:val="24"/>
        </w:rPr>
        <w:t>2024</w:t>
      </w:r>
      <w:r w:rsidRPr="00A46DC3">
        <w:rPr>
          <w:rFonts w:ascii="Times New Roman" w:hAnsi="Times New Roman" w:cs="Times New Roman"/>
          <w:sz w:val="24"/>
          <w:szCs w:val="24"/>
        </w:rPr>
        <w:t xml:space="preserve">,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increased slightly but has remained relatively stable over the last two years. This could indicate that the bank has faced some challenges in reducing NPAs, but the increase is marginal, and overall, the trend is not alarming. </w:t>
      </w:r>
      <w:r w:rsidR="000F409A" w:rsidRPr="00A46DC3">
        <w:rPr>
          <w:rFonts w:ascii="Times New Roman" w:hAnsi="Times New Roman" w:cs="Times New Roman"/>
          <w:b/>
          <w:bCs/>
          <w:sz w:val="24"/>
          <w:szCs w:val="24"/>
        </w:rPr>
        <w:t>Net NPA</w:t>
      </w:r>
      <w:r w:rsidR="000F409A" w:rsidRPr="00A46DC3">
        <w:rPr>
          <w:rFonts w:ascii="Times New Roman" w:hAnsi="Times New Roman" w:cs="Times New Roman"/>
          <w:sz w:val="24"/>
          <w:szCs w:val="24"/>
        </w:rPr>
        <w:t xml:space="preserve"> has shown a decreasing trend from </w:t>
      </w:r>
      <w:r w:rsidR="000F409A" w:rsidRPr="00A46DC3">
        <w:rPr>
          <w:rFonts w:ascii="Times New Roman" w:hAnsi="Times New Roman" w:cs="Times New Roman"/>
          <w:b/>
          <w:bCs/>
          <w:sz w:val="24"/>
          <w:szCs w:val="24"/>
        </w:rPr>
        <w:t>₹1,607.17 crore in 2019</w:t>
      </w:r>
      <w:r w:rsidR="000F409A" w:rsidRPr="00A46DC3">
        <w:rPr>
          <w:rFonts w:ascii="Times New Roman" w:hAnsi="Times New Roman" w:cs="Times New Roman"/>
          <w:sz w:val="24"/>
          <w:szCs w:val="24"/>
        </w:rPr>
        <w:t xml:space="preserve"> to </w:t>
      </w:r>
      <w:r w:rsidR="000F409A" w:rsidRPr="00A46DC3">
        <w:rPr>
          <w:rFonts w:ascii="Times New Roman" w:hAnsi="Times New Roman" w:cs="Times New Roman"/>
          <w:b/>
          <w:bCs/>
          <w:sz w:val="24"/>
          <w:szCs w:val="24"/>
        </w:rPr>
        <w:t>₹1,255.00 crore in 2024</w:t>
      </w:r>
      <w:r w:rsidR="000F409A" w:rsidRPr="00A46DC3">
        <w:rPr>
          <w:rFonts w:ascii="Times New Roman" w:hAnsi="Times New Roman" w:cs="Times New Roman"/>
          <w:sz w:val="24"/>
          <w:szCs w:val="24"/>
        </w:rPr>
        <w:t xml:space="preserve">. This is a positive sign, as it indicates that the bank has been successfully provisioning for and recovering bad loans over the years. The slight increase in </w:t>
      </w:r>
      <w:r w:rsidR="000F409A" w:rsidRPr="00A46DC3">
        <w:rPr>
          <w:rFonts w:ascii="Times New Roman" w:hAnsi="Times New Roman" w:cs="Times New Roman"/>
          <w:b/>
          <w:bCs/>
          <w:sz w:val="24"/>
          <w:szCs w:val="24"/>
        </w:rPr>
        <w:t>Net NPA</w:t>
      </w:r>
      <w:r w:rsidR="000F409A" w:rsidRPr="00A46DC3">
        <w:rPr>
          <w:rFonts w:ascii="Times New Roman" w:hAnsi="Times New Roman" w:cs="Times New Roman"/>
          <w:sz w:val="24"/>
          <w:szCs w:val="24"/>
        </w:rPr>
        <w:t xml:space="preserve"> in </w:t>
      </w:r>
      <w:r w:rsidR="000F409A" w:rsidRPr="00A46DC3">
        <w:rPr>
          <w:rFonts w:ascii="Times New Roman" w:hAnsi="Times New Roman" w:cs="Times New Roman"/>
          <w:b/>
          <w:bCs/>
          <w:sz w:val="24"/>
          <w:szCs w:val="24"/>
        </w:rPr>
        <w:t>2023</w:t>
      </w:r>
      <w:r w:rsidR="000F409A" w:rsidRPr="00A46DC3">
        <w:rPr>
          <w:rFonts w:ascii="Times New Roman" w:hAnsi="Times New Roman" w:cs="Times New Roman"/>
          <w:sz w:val="24"/>
          <w:szCs w:val="24"/>
        </w:rPr>
        <w:t xml:space="preserve"> (₹1,255.33 crore) suggests that while the </w:t>
      </w:r>
      <w:r w:rsidR="000F409A" w:rsidRPr="00A46DC3">
        <w:rPr>
          <w:rFonts w:ascii="Times New Roman" w:hAnsi="Times New Roman" w:cs="Times New Roman"/>
          <w:b/>
          <w:bCs/>
          <w:sz w:val="24"/>
          <w:szCs w:val="24"/>
        </w:rPr>
        <w:t>Gross NPA</w:t>
      </w:r>
      <w:r w:rsidR="000F409A" w:rsidRPr="00A46DC3">
        <w:rPr>
          <w:rFonts w:ascii="Times New Roman" w:hAnsi="Times New Roman" w:cs="Times New Roman"/>
          <w:sz w:val="24"/>
          <w:szCs w:val="24"/>
        </w:rPr>
        <w:t xml:space="preserve"> remained somewhat stable, the </w:t>
      </w:r>
      <w:r w:rsidR="000F409A" w:rsidRPr="00A46DC3">
        <w:rPr>
          <w:rFonts w:ascii="Times New Roman" w:hAnsi="Times New Roman" w:cs="Times New Roman"/>
          <w:b/>
          <w:bCs/>
          <w:sz w:val="24"/>
          <w:szCs w:val="24"/>
        </w:rPr>
        <w:t>Net NPA</w:t>
      </w:r>
      <w:r w:rsidR="000F409A" w:rsidRPr="00A46DC3">
        <w:rPr>
          <w:rFonts w:ascii="Times New Roman" w:hAnsi="Times New Roman" w:cs="Times New Roman"/>
          <w:sz w:val="24"/>
          <w:szCs w:val="24"/>
        </w:rPr>
        <w:t xml:space="preserve"> remained manageable, reflecting Federal Bank's ability to create provisions and manage risk effectively.</w:t>
      </w:r>
    </w:p>
    <w:p w14:paraId="14ED716C" w14:textId="0DB553F8" w:rsidR="006D708D" w:rsidRPr="00A46DC3" w:rsidRDefault="006D708D" w:rsidP="005336A2">
      <w:pPr>
        <w:tabs>
          <w:tab w:val="left" w:pos="5304"/>
        </w:tabs>
        <w:rPr>
          <w:rFonts w:ascii="Times New Roman" w:hAnsi="Times New Roman" w:cs="Times New Roman"/>
          <w:sz w:val="24"/>
          <w:szCs w:val="24"/>
        </w:rPr>
      </w:pPr>
    </w:p>
    <w:p w14:paraId="15677DDF" w14:textId="758340BA" w:rsidR="006E21D0" w:rsidRPr="00A46DC3" w:rsidRDefault="00BC601C" w:rsidP="00BC601C">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STATE BANK OF INDIA</w:t>
      </w:r>
    </w:p>
    <w:p w14:paraId="7185220A" w14:textId="4EA20031" w:rsidR="00BC601C" w:rsidRPr="00A46DC3" w:rsidRDefault="00BC601C" w:rsidP="00BC601C">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5</w:t>
      </w:r>
      <w:r w:rsidR="00CC6D77" w:rsidRPr="00A46DC3">
        <w:rPr>
          <w:rFonts w:ascii="Times New Roman" w:hAnsi="Times New Roman" w:cs="Times New Roman"/>
          <w:b/>
          <w:bCs/>
          <w:sz w:val="24"/>
          <w:szCs w:val="24"/>
        </w:rPr>
        <w:t xml:space="preserve"> </w:t>
      </w:r>
      <w:r w:rsidRPr="00A46DC3">
        <w:rPr>
          <w:rFonts w:ascii="Times New Roman" w:hAnsi="Times New Roman" w:cs="Times New Roman"/>
          <w:b/>
          <w:bCs/>
          <w:sz w:val="24"/>
          <w:szCs w:val="24"/>
        </w:rPr>
        <w:t>Net NPA</w:t>
      </w:r>
      <w:r w:rsidR="00CC6D77" w:rsidRPr="00A46DC3">
        <w:rPr>
          <w:rFonts w:ascii="Times New Roman" w:hAnsi="Times New Roman" w:cs="Times New Roman"/>
          <w:b/>
          <w:bCs/>
          <w:sz w:val="24"/>
          <w:szCs w:val="24"/>
        </w:rPr>
        <w:t xml:space="preserve"> Ratio of State Bank of India</w:t>
      </w:r>
      <w:r w:rsidRPr="00A46DC3">
        <w:rPr>
          <w:rFonts w:ascii="Times New Roman" w:hAnsi="Times New Roman" w:cs="Times New Roman"/>
          <w:b/>
          <w:bCs/>
          <w:sz w:val="24"/>
          <w:szCs w:val="24"/>
        </w:rPr>
        <w:t>:</w:t>
      </w:r>
    </w:p>
    <w:p w14:paraId="1021FFC1" w14:textId="0FF0D90B" w:rsidR="00BC601C" w:rsidRPr="00A46DC3" w:rsidRDefault="00BC601C" w:rsidP="00BC601C">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5</w:t>
      </w:r>
      <w:r w:rsidRPr="00A46DC3">
        <w:rPr>
          <w:rFonts w:ascii="Times New Roman" w:hAnsi="Times New Roman" w:cs="Times New Roman"/>
          <w:b/>
          <w:bCs/>
          <w:sz w:val="24"/>
          <w:szCs w:val="24"/>
        </w:rPr>
        <w:t>: Showing the</w:t>
      </w:r>
      <w:r w:rsidR="008B3C15" w:rsidRPr="00A46DC3">
        <w:rPr>
          <w:rFonts w:ascii="Times New Roman" w:hAnsi="Times New Roman" w:cs="Times New Roman"/>
          <w:b/>
          <w:bCs/>
          <w:sz w:val="24"/>
          <w:szCs w:val="24"/>
        </w:rPr>
        <w:t xml:space="preserve"> </w:t>
      </w:r>
      <w:r w:rsidRPr="00A46DC3">
        <w:rPr>
          <w:rFonts w:ascii="Times New Roman" w:hAnsi="Times New Roman" w:cs="Times New Roman"/>
          <w:b/>
          <w:bCs/>
          <w:sz w:val="24"/>
          <w:szCs w:val="24"/>
        </w:rPr>
        <w:t xml:space="preserve">Net </w:t>
      </w:r>
      <w:r w:rsidR="00CC6D77" w:rsidRPr="00A46DC3">
        <w:rPr>
          <w:rFonts w:ascii="Times New Roman" w:hAnsi="Times New Roman" w:cs="Times New Roman"/>
          <w:b/>
          <w:bCs/>
          <w:sz w:val="24"/>
          <w:szCs w:val="24"/>
        </w:rPr>
        <w:t xml:space="preserve">NPA Ratio </w:t>
      </w:r>
      <w:r w:rsidRPr="00A46DC3">
        <w:rPr>
          <w:rFonts w:ascii="Times New Roman" w:hAnsi="Times New Roman" w:cs="Times New Roman"/>
          <w:b/>
          <w:bCs/>
          <w:sz w:val="24"/>
          <w:szCs w:val="24"/>
        </w:rPr>
        <w:t>of State Bank of India (Rs. in cr)</w:t>
      </w:r>
    </w:p>
    <w:tbl>
      <w:tblPr>
        <w:tblW w:w="8040" w:type="dxa"/>
        <w:tblInd w:w="113" w:type="dxa"/>
        <w:tblLook w:val="04A0" w:firstRow="1" w:lastRow="0" w:firstColumn="1" w:lastColumn="0" w:noHBand="0" w:noVBand="1"/>
      </w:tblPr>
      <w:tblGrid>
        <w:gridCol w:w="960"/>
        <w:gridCol w:w="2800"/>
        <w:gridCol w:w="2160"/>
        <w:gridCol w:w="2120"/>
      </w:tblGrid>
      <w:tr w:rsidR="00CC6D77" w:rsidRPr="00A46DC3" w14:paraId="5901ED85" w14:textId="77777777" w:rsidTr="00CC6D77">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9833D"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YEAR</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42DC984C"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Net NPA</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3CB6CFC"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Total Advances</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4E20BD10" w14:textId="6CB6690E" w:rsidR="00CC6D77" w:rsidRPr="00A46DC3" w:rsidRDefault="00CC6D77" w:rsidP="00CC6D77">
            <w:pPr>
              <w:spacing w:after="0" w:line="240" w:lineRule="auto"/>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NPA Ratio (%)</w:t>
            </w:r>
          </w:p>
        </w:tc>
      </w:tr>
      <w:tr w:rsidR="00CC6D77" w:rsidRPr="00A46DC3" w14:paraId="1576D87A"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01F7EF"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2800" w:type="dxa"/>
            <w:tcBorders>
              <w:top w:val="nil"/>
              <w:left w:val="nil"/>
              <w:bottom w:val="single" w:sz="4" w:space="0" w:color="auto"/>
              <w:right w:val="single" w:sz="4" w:space="0" w:color="auto"/>
            </w:tcBorders>
            <w:shd w:val="clear" w:color="auto" w:fill="auto"/>
            <w:vAlign w:val="center"/>
            <w:hideMark/>
          </w:tcPr>
          <w:p w14:paraId="789165E3"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65,895.00</w:t>
            </w:r>
          </w:p>
        </w:tc>
        <w:tc>
          <w:tcPr>
            <w:tcW w:w="2160" w:type="dxa"/>
            <w:tcBorders>
              <w:top w:val="nil"/>
              <w:left w:val="nil"/>
              <w:bottom w:val="single" w:sz="4" w:space="0" w:color="auto"/>
              <w:right w:val="single" w:sz="4" w:space="0" w:color="auto"/>
            </w:tcBorders>
            <w:shd w:val="clear" w:color="auto" w:fill="auto"/>
            <w:noWrap/>
            <w:vAlign w:val="bottom"/>
            <w:hideMark/>
          </w:tcPr>
          <w:p w14:paraId="7CFE9C0A"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22,93,000</w:t>
            </w:r>
          </w:p>
        </w:tc>
        <w:tc>
          <w:tcPr>
            <w:tcW w:w="2120" w:type="dxa"/>
            <w:tcBorders>
              <w:top w:val="nil"/>
              <w:left w:val="nil"/>
              <w:bottom w:val="single" w:sz="4" w:space="0" w:color="auto"/>
              <w:right w:val="single" w:sz="4" w:space="0" w:color="auto"/>
            </w:tcBorders>
            <w:shd w:val="clear" w:color="auto" w:fill="auto"/>
            <w:noWrap/>
            <w:vAlign w:val="bottom"/>
            <w:hideMark/>
          </w:tcPr>
          <w:p w14:paraId="4EB51F19"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2.87</w:t>
            </w:r>
          </w:p>
        </w:tc>
      </w:tr>
      <w:tr w:rsidR="00CC6D77" w:rsidRPr="00A46DC3" w14:paraId="69EED8CA"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B845C"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2800" w:type="dxa"/>
            <w:tcBorders>
              <w:top w:val="nil"/>
              <w:left w:val="nil"/>
              <w:bottom w:val="single" w:sz="4" w:space="0" w:color="auto"/>
              <w:right w:val="single" w:sz="4" w:space="0" w:color="auto"/>
            </w:tcBorders>
            <w:shd w:val="clear" w:color="auto" w:fill="auto"/>
            <w:vAlign w:val="center"/>
            <w:hideMark/>
          </w:tcPr>
          <w:p w14:paraId="50F16E33"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51,871.00</w:t>
            </w:r>
          </w:p>
        </w:tc>
        <w:tc>
          <w:tcPr>
            <w:tcW w:w="2160" w:type="dxa"/>
            <w:tcBorders>
              <w:top w:val="nil"/>
              <w:left w:val="nil"/>
              <w:bottom w:val="single" w:sz="4" w:space="0" w:color="auto"/>
              <w:right w:val="single" w:sz="4" w:space="0" w:color="auto"/>
            </w:tcBorders>
            <w:shd w:val="clear" w:color="auto" w:fill="auto"/>
            <w:noWrap/>
            <w:vAlign w:val="bottom"/>
            <w:hideMark/>
          </w:tcPr>
          <w:p w14:paraId="591D7DE2"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23,25,290</w:t>
            </w:r>
          </w:p>
        </w:tc>
        <w:tc>
          <w:tcPr>
            <w:tcW w:w="2120" w:type="dxa"/>
            <w:tcBorders>
              <w:top w:val="nil"/>
              <w:left w:val="nil"/>
              <w:bottom w:val="single" w:sz="4" w:space="0" w:color="auto"/>
              <w:right w:val="single" w:sz="4" w:space="0" w:color="auto"/>
            </w:tcBorders>
            <w:shd w:val="clear" w:color="auto" w:fill="auto"/>
            <w:noWrap/>
            <w:vAlign w:val="bottom"/>
            <w:hideMark/>
          </w:tcPr>
          <w:p w14:paraId="5B731B65"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2.23</w:t>
            </w:r>
          </w:p>
        </w:tc>
      </w:tr>
      <w:tr w:rsidR="00CC6D77" w:rsidRPr="00A46DC3" w14:paraId="3A0A845A"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FFBB31"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2800" w:type="dxa"/>
            <w:tcBorders>
              <w:top w:val="nil"/>
              <w:left w:val="nil"/>
              <w:bottom w:val="single" w:sz="4" w:space="0" w:color="auto"/>
              <w:right w:val="single" w:sz="4" w:space="0" w:color="auto"/>
            </w:tcBorders>
            <w:shd w:val="clear" w:color="auto" w:fill="auto"/>
            <w:vAlign w:val="center"/>
            <w:hideMark/>
          </w:tcPr>
          <w:p w14:paraId="0FBCF94E"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36,810.00</w:t>
            </w:r>
          </w:p>
        </w:tc>
        <w:tc>
          <w:tcPr>
            <w:tcW w:w="2160" w:type="dxa"/>
            <w:tcBorders>
              <w:top w:val="nil"/>
              <w:left w:val="nil"/>
              <w:bottom w:val="single" w:sz="4" w:space="0" w:color="auto"/>
              <w:right w:val="single" w:sz="4" w:space="0" w:color="auto"/>
            </w:tcBorders>
            <w:shd w:val="clear" w:color="auto" w:fill="auto"/>
            <w:noWrap/>
            <w:vAlign w:val="bottom"/>
            <w:hideMark/>
          </w:tcPr>
          <w:p w14:paraId="5FB4E925"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24,50,821</w:t>
            </w:r>
          </w:p>
        </w:tc>
        <w:tc>
          <w:tcPr>
            <w:tcW w:w="2120" w:type="dxa"/>
            <w:tcBorders>
              <w:top w:val="nil"/>
              <w:left w:val="nil"/>
              <w:bottom w:val="single" w:sz="4" w:space="0" w:color="auto"/>
              <w:right w:val="single" w:sz="4" w:space="0" w:color="auto"/>
            </w:tcBorders>
            <w:shd w:val="clear" w:color="auto" w:fill="auto"/>
            <w:noWrap/>
            <w:vAlign w:val="bottom"/>
            <w:hideMark/>
          </w:tcPr>
          <w:p w14:paraId="3A61190B"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1.50</w:t>
            </w:r>
          </w:p>
        </w:tc>
      </w:tr>
      <w:tr w:rsidR="00CC6D77" w:rsidRPr="00A46DC3" w14:paraId="260767B5"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8443DE"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2800" w:type="dxa"/>
            <w:tcBorders>
              <w:top w:val="nil"/>
              <w:left w:val="nil"/>
              <w:bottom w:val="single" w:sz="4" w:space="0" w:color="auto"/>
              <w:right w:val="single" w:sz="4" w:space="0" w:color="auto"/>
            </w:tcBorders>
            <w:shd w:val="clear" w:color="auto" w:fill="auto"/>
            <w:vAlign w:val="center"/>
            <w:hideMark/>
          </w:tcPr>
          <w:p w14:paraId="2D2C66F4"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27,965.00</w:t>
            </w:r>
          </w:p>
        </w:tc>
        <w:tc>
          <w:tcPr>
            <w:tcW w:w="2160" w:type="dxa"/>
            <w:tcBorders>
              <w:top w:val="nil"/>
              <w:left w:val="nil"/>
              <w:bottom w:val="single" w:sz="4" w:space="0" w:color="auto"/>
              <w:right w:val="single" w:sz="4" w:space="0" w:color="auto"/>
            </w:tcBorders>
            <w:shd w:val="clear" w:color="auto" w:fill="auto"/>
            <w:noWrap/>
            <w:vAlign w:val="bottom"/>
            <w:hideMark/>
          </w:tcPr>
          <w:p w14:paraId="1B76672C"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27,33,967</w:t>
            </w:r>
          </w:p>
        </w:tc>
        <w:tc>
          <w:tcPr>
            <w:tcW w:w="2120" w:type="dxa"/>
            <w:tcBorders>
              <w:top w:val="nil"/>
              <w:left w:val="nil"/>
              <w:bottom w:val="single" w:sz="4" w:space="0" w:color="auto"/>
              <w:right w:val="single" w:sz="4" w:space="0" w:color="auto"/>
            </w:tcBorders>
            <w:shd w:val="clear" w:color="auto" w:fill="auto"/>
            <w:noWrap/>
            <w:vAlign w:val="bottom"/>
            <w:hideMark/>
          </w:tcPr>
          <w:p w14:paraId="2860D63B"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1.02</w:t>
            </w:r>
          </w:p>
        </w:tc>
      </w:tr>
      <w:tr w:rsidR="00CC6D77" w:rsidRPr="00A46DC3" w14:paraId="5F30FB42"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224F2B"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2800" w:type="dxa"/>
            <w:tcBorders>
              <w:top w:val="nil"/>
              <w:left w:val="nil"/>
              <w:bottom w:val="single" w:sz="4" w:space="0" w:color="auto"/>
              <w:right w:val="single" w:sz="4" w:space="0" w:color="auto"/>
            </w:tcBorders>
            <w:shd w:val="clear" w:color="auto" w:fill="auto"/>
            <w:vAlign w:val="center"/>
            <w:hideMark/>
          </w:tcPr>
          <w:p w14:paraId="1043D1E2"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21,467.00</w:t>
            </w:r>
          </w:p>
        </w:tc>
        <w:tc>
          <w:tcPr>
            <w:tcW w:w="2160" w:type="dxa"/>
            <w:tcBorders>
              <w:top w:val="nil"/>
              <w:left w:val="nil"/>
              <w:bottom w:val="single" w:sz="4" w:space="0" w:color="auto"/>
              <w:right w:val="single" w:sz="4" w:space="0" w:color="auto"/>
            </w:tcBorders>
            <w:shd w:val="clear" w:color="auto" w:fill="auto"/>
            <w:noWrap/>
            <w:vAlign w:val="bottom"/>
            <w:hideMark/>
          </w:tcPr>
          <w:p w14:paraId="14D7737E"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30,35,000</w:t>
            </w:r>
          </w:p>
        </w:tc>
        <w:tc>
          <w:tcPr>
            <w:tcW w:w="2120" w:type="dxa"/>
            <w:tcBorders>
              <w:top w:val="nil"/>
              <w:left w:val="nil"/>
              <w:bottom w:val="single" w:sz="4" w:space="0" w:color="auto"/>
              <w:right w:val="single" w:sz="4" w:space="0" w:color="auto"/>
            </w:tcBorders>
            <w:shd w:val="clear" w:color="auto" w:fill="auto"/>
            <w:noWrap/>
            <w:vAlign w:val="bottom"/>
            <w:hideMark/>
          </w:tcPr>
          <w:p w14:paraId="28765894"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0.71</w:t>
            </w:r>
          </w:p>
        </w:tc>
      </w:tr>
      <w:tr w:rsidR="00CC6D77" w:rsidRPr="00A46DC3" w14:paraId="16E68CB1" w14:textId="77777777" w:rsidTr="00CC6D7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3F67A" w14:textId="77777777" w:rsidR="00CC6D77" w:rsidRPr="00A46DC3" w:rsidRDefault="00CC6D77" w:rsidP="00CC6D7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2800" w:type="dxa"/>
            <w:tcBorders>
              <w:top w:val="nil"/>
              <w:left w:val="nil"/>
              <w:bottom w:val="single" w:sz="4" w:space="0" w:color="auto"/>
              <w:right w:val="single" w:sz="4" w:space="0" w:color="auto"/>
            </w:tcBorders>
            <w:shd w:val="clear" w:color="auto" w:fill="auto"/>
            <w:vAlign w:val="center"/>
            <w:hideMark/>
          </w:tcPr>
          <w:p w14:paraId="7FB3AEE9"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21,051.00</w:t>
            </w:r>
          </w:p>
        </w:tc>
        <w:tc>
          <w:tcPr>
            <w:tcW w:w="2160" w:type="dxa"/>
            <w:tcBorders>
              <w:top w:val="nil"/>
              <w:left w:val="nil"/>
              <w:bottom w:val="single" w:sz="4" w:space="0" w:color="auto"/>
              <w:right w:val="single" w:sz="4" w:space="0" w:color="auto"/>
            </w:tcBorders>
            <w:shd w:val="clear" w:color="auto" w:fill="auto"/>
            <w:noWrap/>
            <w:vAlign w:val="bottom"/>
            <w:hideMark/>
          </w:tcPr>
          <w:p w14:paraId="2B4A25F2"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33,00,000</w:t>
            </w:r>
          </w:p>
        </w:tc>
        <w:tc>
          <w:tcPr>
            <w:tcW w:w="2120" w:type="dxa"/>
            <w:tcBorders>
              <w:top w:val="nil"/>
              <w:left w:val="nil"/>
              <w:bottom w:val="single" w:sz="4" w:space="0" w:color="auto"/>
              <w:right w:val="single" w:sz="4" w:space="0" w:color="auto"/>
            </w:tcBorders>
            <w:shd w:val="clear" w:color="auto" w:fill="auto"/>
            <w:noWrap/>
            <w:vAlign w:val="bottom"/>
            <w:hideMark/>
          </w:tcPr>
          <w:p w14:paraId="569E6DC9" w14:textId="77777777" w:rsidR="00CC6D77" w:rsidRPr="00A46DC3" w:rsidRDefault="00CC6D77" w:rsidP="00CC6D7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0.64</w:t>
            </w:r>
          </w:p>
        </w:tc>
      </w:tr>
    </w:tbl>
    <w:p w14:paraId="273CBAC6" w14:textId="77777777" w:rsidR="008B3C15" w:rsidRPr="00A46DC3" w:rsidRDefault="008B3C15" w:rsidP="008B3C15">
      <w:pPr>
        <w:tabs>
          <w:tab w:val="left" w:pos="5304"/>
        </w:tabs>
        <w:rPr>
          <w:rFonts w:ascii="Times New Roman" w:hAnsi="Times New Roman" w:cs="Times New Roman"/>
          <w:b/>
          <w:bCs/>
          <w:sz w:val="24"/>
          <w:szCs w:val="24"/>
        </w:rPr>
      </w:pPr>
    </w:p>
    <w:p w14:paraId="7B71551B" w14:textId="34FFF6AD" w:rsidR="00BC601C" w:rsidRPr="00A46DC3" w:rsidRDefault="008B3C15" w:rsidP="008B3C15">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Figure 4.5: Showing the Net NPA Ratio of State Bank of India </w:t>
      </w:r>
    </w:p>
    <w:p w14:paraId="22AD5182" w14:textId="5C7C16F9" w:rsidR="009E5C8D" w:rsidRPr="00A46DC3" w:rsidRDefault="009E5C8D" w:rsidP="00BC601C">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1F8A3064" wp14:editId="0303FBC6">
            <wp:extent cx="4572000" cy="2743200"/>
            <wp:effectExtent l="0" t="0" r="0" b="0"/>
            <wp:docPr id="386771363" name="Chart 1">
              <a:extLst xmlns:a="http://schemas.openxmlformats.org/drawingml/2006/main">
                <a:ext uri="{FF2B5EF4-FFF2-40B4-BE49-F238E27FC236}">
                  <a16:creationId xmlns:a16="http://schemas.microsoft.com/office/drawing/2014/main" id="{903A4F43-906E-AD13-4420-B9E599444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2F4C4F6E" w14:textId="76159158" w:rsidR="00770D0C" w:rsidRPr="00A46DC3" w:rsidRDefault="00770D0C" w:rsidP="00281EC1">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Pr="00A46DC3">
        <w:rPr>
          <w:rFonts w:ascii="Times New Roman" w:hAnsi="Times New Roman" w:cs="Times New Roman"/>
          <w:b/>
          <w:bCs/>
          <w:sz w:val="24"/>
          <w:szCs w:val="24"/>
        </w:rPr>
        <w:t>Net NPA</w:t>
      </w:r>
      <w:r w:rsidRPr="00A46DC3">
        <w:rPr>
          <w:rFonts w:ascii="Times New Roman" w:hAnsi="Times New Roman" w:cs="Times New Roman"/>
          <w:sz w:val="24"/>
          <w:szCs w:val="24"/>
        </w:rPr>
        <w:t xml:space="preserve"> has shown a significant decrease over the years, from </w:t>
      </w:r>
      <w:r w:rsidRPr="00A46DC3">
        <w:rPr>
          <w:rFonts w:ascii="Times New Roman" w:hAnsi="Times New Roman" w:cs="Times New Roman"/>
          <w:b/>
          <w:bCs/>
          <w:sz w:val="24"/>
          <w:szCs w:val="24"/>
        </w:rPr>
        <w:t>₹65,895 crore in 2019</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₹21,051 crore in 2024</w:t>
      </w:r>
      <w:r w:rsidRPr="00A46DC3">
        <w:rPr>
          <w:rFonts w:ascii="Times New Roman" w:hAnsi="Times New Roman" w:cs="Times New Roman"/>
          <w:sz w:val="24"/>
          <w:szCs w:val="24"/>
        </w:rPr>
        <w:t xml:space="preserve">. This is a positive development, indicating that SBI has been able to reduce its bad loans significantly. The consistent decline suggests that the bank has been successful in its efforts to recover bad loans, make provisions, and improve asset quality. The small decrease in </w:t>
      </w:r>
      <w:r w:rsidRPr="00A46DC3">
        <w:rPr>
          <w:rFonts w:ascii="Times New Roman" w:hAnsi="Times New Roman" w:cs="Times New Roman"/>
          <w:b/>
          <w:bCs/>
          <w:sz w:val="24"/>
          <w:szCs w:val="24"/>
        </w:rPr>
        <w:t>2024</w:t>
      </w:r>
      <w:r w:rsidRPr="00A46DC3">
        <w:rPr>
          <w:rFonts w:ascii="Times New Roman" w:hAnsi="Times New Roman" w:cs="Times New Roman"/>
          <w:sz w:val="24"/>
          <w:szCs w:val="24"/>
        </w:rPr>
        <w:t xml:space="preserve"> compared to </w:t>
      </w:r>
      <w:r w:rsidRPr="00A46DC3">
        <w:rPr>
          <w:rFonts w:ascii="Times New Roman" w:hAnsi="Times New Roman" w:cs="Times New Roman"/>
          <w:b/>
          <w:bCs/>
          <w:sz w:val="24"/>
          <w:szCs w:val="24"/>
        </w:rPr>
        <w:t>2023</w:t>
      </w:r>
      <w:r w:rsidRPr="00A46DC3">
        <w:rPr>
          <w:rFonts w:ascii="Times New Roman" w:hAnsi="Times New Roman" w:cs="Times New Roman"/>
          <w:sz w:val="24"/>
          <w:szCs w:val="24"/>
        </w:rPr>
        <w:t xml:space="preserve"> indicates stability in terms of asset quality, with little to no major deterioration in the loan portfolio. </w:t>
      </w:r>
      <w:r w:rsidR="009B2232" w:rsidRPr="00A46DC3">
        <w:rPr>
          <w:rFonts w:ascii="Times New Roman" w:hAnsi="Times New Roman" w:cs="Times New Roman"/>
          <w:b/>
          <w:bCs/>
          <w:sz w:val="24"/>
          <w:szCs w:val="24"/>
        </w:rPr>
        <w:t>Total Advances</w:t>
      </w:r>
      <w:r w:rsidR="009B2232" w:rsidRPr="00A46DC3">
        <w:rPr>
          <w:rFonts w:ascii="Times New Roman" w:hAnsi="Times New Roman" w:cs="Times New Roman"/>
          <w:sz w:val="24"/>
          <w:szCs w:val="24"/>
        </w:rPr>
        <w:t xml:space="preserve"> have increased steadily from </w:t>
      </w:r>
      <w:r w:rsidR="009B2232" w:rsidRPr="00A46DC3">
        <w:rPr>
          <w:rFonts w:ascii="Times New Roman" w:hAnsi="Times New Roman" w:cs="Times New Roman"/>
          <w:b/>
          <w:bCs/>
          <w:sz w:val="24"/>
          <w:szCs w:val="24"/>
        </w:rPr>
        <w:t>₹22,93,000 crore in 2019</w:t>
      </w:r>
      <w:r w:rsidR="009B2232" w:rsidRPr="00A46DC3">
        <w:rPr>
          <w:rFonts w:ascii="Times New Roman" w:hAnsi="Times New Roman" w:cs="Times New Roman"/>
          <w:sz w:val="24"/>
          <w:szCs w:val="24"/>
        </w:rPr>
        <w:t xml:space="preserve"> to </w:t>
      </w:r>
      <w:r w:rsidR="009B2232" w:rsidRPr="00A46DC3">
        <w:rPr>
          <w:rFonts w:ascii="Times New Roman" w:hAnsi="Times New Roman" w:cs="Times New Roman"/>
          <w:b/>
          <w:bCs/>
          <w:sz w:val="24"/>
          <w:szCs w:val="24"/>
        </w:rPr>
        <w:t>₹33,00,000 crore in 2024</w:t>
      </w:r>
      <w:r w:rsidR="009B2232" w:rsidRPr="00A46DC3">
        <w:rPr>
          <w:rFonts w:ascii="Times New Roman" w:hAnsi="Times New Roman" w:cs="Times New Roman"/>
          <w:sz w:val="24"/>
          <w:szCs w:val="24"/>
        </w:rPr>
        <w:t>. This growth reflects the expansion of SBI's lending activities, showing a robust growth in the bank's business. The steady growth in advances suggests that SBI is not only expanding its loan portfolio but also potentially reaching a broader customer base, contributing to higher future revenues.</w:t>
      </w:r>
      <w:r w:rsidR="00281EC1" w:rsidRPr="00A46DC3">
        <w:rPr>
          <w:rFonts w:ascii="Times New Roman" w:eastAsia="Times New Roman" w:hAnsi="Times New Roman" w:cs="Times New Roman"/>
          <w:kern w:val="0"/>
          <w:sz w:val="24"/>
          <w:szCs w:val="24"/>
          <w:lang w:eastAsia="en-GB"/>
          <w14:ligatures w14:val="none"/>
        </w:rPr>
        <w:t xml:space="preserve"> </w:t>
      </w:r>
      <w:r w:rsidR="00281EC1" w:rsidRPr="00A46DC3">
        <w:rPr>
          <w:rFonts w:ascii="Times New Roman" w:hAnsi="Times New Roman" w:cs="Times New Roman"/>
          <w:b/>
          <w:bCs/>
          <w:sz w:val="24"/>
          <w:szCs w:val="24"/>
        </w:rPr>
        <w:t>NPA Ratio</w:t>
      </w:r>
      <w:r w:rsidR="00281EC1" w:rsidRPr="00A46DC3">
        <w:rPr>
          <w:rFonts w:ascii="Times New Roman" w:hAnsi="Times New Roman" w:cs="Times New Roman"/>
          <w:sz w:val="24"/>
          <w:szCs w:val="24"/>
        </w:rPr>
        <w:t xml:space="preserve"> has consistently declined from </w:t>
      </w:r>
      <w:r w:rsidR="00281EC1" w:rsidRPr="00A46DC3">
        <w:rPr>
          <w:rFonts w:ascii="Times New Roman" w:hAnsi="Times New Roman" w:cs="Times New Roman"/>
          <w:b/>
          <w:bCs/>
          <w:sz w:val="24"/>
          <w:szCs w:val="24"/>
        </w:rPr>
        <w:t>2.87% in 2019</w:t>
      </w:r>
      <w:r w:rsidR="00281EC1" w:rsidRPr="00A46DC3">
        <w:rPr>
          <w:rFonts w:ascii="Times New Roman" w:hAnsi="Times New Roman" w:cs="Times New Roman"/>
          <w:sz w:val="24"/>
          <w:szCs w:val="24"/>
        </w:rPr>
        <w:t xml:space="preserve"> to </w:t>
      </w:r>
      <w:r w:rsidR="00281EC1" w:rsidRPr="00A46DC3">
        <w:rPr>
          <w:rFonts w:ascii="Times New Roman" w:hAnsi="Times New Roman" w:cs="Times New Roman"/>
          <w:b/>
          <w:bCs/>
          <w:sz w:val="24"/>
          <w:szCs w:val="24"/>
        </w:rPr>
        <w:t>0.64% in 2024</w:t>
      </w:r>
      <w:r w:rsidR="00281EC1" w:rsidRPr="00A46DC3">
        <w:rPr>
          <w:rFonts w:ascii="Times New Roman" w:hAnsi="Times New Roman" w:cs="Times New Roman"/>
          <w:sz w:val="24"/>
          <w:szCs w:val="24"/>
        </w:rPr>
        <w:t xml:space="preserve">, which is a very positive sign. The NPA ratio indicates that the proportion of bad loans relative to the total loan portfolio is decreasing, suggesting an improvement in asset quality. This significant reduction in the NPA ratio reflects SBI's effective risk management, including the ability to recover non-performing loans and manage credit risk. The NPA ratio of </w:t>
      </w:r>
      <w:r w:rsidR="00281EC1" w:rsidRPr="00A46DC3">
        <w:rPr>
          <w:rFonts w:ascii="Times New Roman" w:hAnsi="Times New Roman" w:cs="Times New Roman"/>
          <w:b/>
          <w:bCs/>
          <w:sz w:val="24"/>
          <w:szCs w:val="24"/>
        </w:rPr>
        <w:t>0.64% in 2024</w:t>
      </w:r>
      <w:r w:rsidR="00281EC1" w:rsidRPr="00A46DC3">
        <w:rPr>
          <w:rFonts w:ascii="Times New Roman" w:hAnsi="Times New Roman" w:cs="Times New Roman"/>
          <w:sz w:val="24"/>
          <w:szCs w:val="24"/>
        </w:rPr>
        <w:t xml:space="preserve"> is quite low, indicating that SBI has a healthy loan book and has managed to control bad loans effectively.</w:t>
      </w:r>
    </w:p>
    <w:p w14:paraId="14030FA2" w14:textId="6DC0A80E" w:rsidR="00CC6D77" w:rsidRPr="00A46DC3" w:rsidRDefault="00CC6D77" w:rsidP="00CC6D7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6</w:t>
      </w:r>
      <w:r w:rsidRPr="00A46DC3">
        <w:rPr>
          <w:rFonts w:ascii="Times New Roman" w:hAnsi="Times New Roman" w:cs="Times New Roman"/>
          <w:b/>
          <w:bCs/>
          <w:sz w:val="24"/>
          <w:szCs w:val="24"/>
        </w:rPr>
        <w:t xml:space="preserve"> Gross NPA Ratio of State Bank of India:</w:t>
      </w:r>
    </w:p>
    <w:p w14:paraId="547B6456" w14:textId="4EDB0A75" w:rsidR="00CC6D77" w:rsidRPr="00A46DC3" w:rsidRDefault="00CC6D77" w:rsidP="00CC6D7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6</w:t>
      </w:r>
      <w:r w:rsidRPr="00A46DC3">
        <w:rPr>
          <w:rFonts w:ascii="Times New Roman" w:hAnsi="Times New Roman" w:cs="Times New Roman"/>
          <w:b/>
          <w:bCs/>
          <w:sz w:val="24"/>
          <w:szCs w:val="24"/>
        </w:rPr>
        <w:t xml:space="preserve">: Showing the </w:t>
      </w:r>
      <w:r w:rsidR="008B3C15" w:rsidRPr="00A46DC3">
        <w:rPr>
          <w:rFonts w:ascii="Times New Roman" w:hAnsi="Times New Roman" w:cs="Times New Roman"/>
          <w:b/>
          <w:bCs/>
          <w:sz w:val="24"/>
          <w:szCs w:val="24"/>
        </w:rPr>
        <w:t>Gross</w:t>
      </w:r>
      <w:r w:rsidRPr="00A46DC3">
        <w:rPr>
          <w:rFonts w:ascii="Times New Roman" w:hAnsi="Times New Roman" w:cs="Times New Roman"/>
          <w:b/>
          <w:bCs/>
          <w:sz w:val="24"/>
          <w:szCs w:val="24"/>
        </w:rPr>
        <w:t xml:space="preserve"> NPA Ratio of State Bank of India (Rs. in cr)</w:t>
      </w:r>
    </w:p>
    <w:tbl>
      <w:tblPr>
        <w:tblW w:w="5900" w:type="dxa"/>
        <w:tblInd w:w="113" w:type="dxa"/>
        <w:tblLook w:val="04A0" w:firstRow="1" w:lastRow="0" w:firstColumn="1" w:lastColumn="0" w:noHBand="0" w:noVBand="1"/>
      </w:tblPr>
      <w:tblGrid>
        <w:gridCol w:w="960"/>
        <w:gridCol w:w="1380"/>
        <w:gridCol w:w="1620"/>
        <w:gridCol w:w="1940"/>
      </w:tblGrid>
      <w:tr w:rsidR="008B3E67" w:rsidRPr="00A46DC3" w14:paraId="0C95DE55" w14:textId="77777777" w:rsidTr="008B3E67">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E8AF"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YEAR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A1A4755"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Gross NPA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D2F65D7"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Total Advances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E62BA67" w14:textId="77777777" w:rsidR="008B3E67" w:rsidRPr="00A46DC3" w:rsidRDefault="008B3E67" w:rsidP="008B3E67">
            <w:pPr>
              <w:spacing w:after="0" w:line="240" w:lineRule="auto"/>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GPA Ratio (%)</w:t>
            </w:r>
          </w:p>
        </w:tc>
      </w:tr>
      <w:tr w:rsidR="008B3E67" w:rsidRPr="00A46DC3" w14:paraId="4EE5F433" w14:textId="77777777" w:rsidTr="008B3E6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7F1F58"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1380" w:type="dxa"/>
            <w:tcBorders>
              <w:top w:val="nil"/>
              <w:left w:val="nil"/>
              <w:bottom w:val="single" w:sz="4" w:space="0" w:color="auto"/>
              <w:right w:val="single" w:sz="4" w:space="0" w:color="auto"/>
            </w:tcBorders>
            <w:shd w:val="clear" w:color="auto" w:fill="auto"/>
            <w:vAlign w:val="center"/>
            <w:hideMark/>
          </w:tcPr>
          <w:p w14:paraId="63E26336"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1,72,750.00</w:t>
            </w:r>
          </w:p>
        </w:tc>
        <w:tc>
          <w:tcPr>
            <w:tcW w:w="1620" w:type="dxa"/>
            <w:tcBorders>
              <w:top w:val="nil"/>
              <w:left w:val="nil"/>
              <w:bottom w:val="single" w:sz="4" w:space="0" w:color="auto"/>
              <w:right w:val="single" w:sz="4" w:space="0" w:color="auto"/>
            </w:tcBorders>
            <w:shd w:val="clear" w:color="auto" w:fill="auto"/>
            <w:noWrap/>
            <w:vAlign w:val="bottom"/>
            <w:hideMark/>
          </w:tcPr>
          <w:p w14:paraId="7F04EC59"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22,93,000</w:t>
            </w:r>
          </w:p>
        </w:tc>
        <w:tc>
          <w:tcPr>
            <w:tcW w:w="1940" w:type="dxa"/>
            <w:tcBorders>
              <w:top w:val="nil"/>
              <w:left w:val="nil"/>
              <w:bottom w:val="single" w:sz="4" w:space="0" w:color="auto"/>
              <w:right w:val="single" w:sz="4" w:space="0" w:color="auto"/>
            </w:tcBorders>
            <w:shd w:val="clear" w:color="auto" w:fill="auto"/>
            <w:noWrap/>
            <w:vAlign w:val="bottom"/>
            <w:hideMark/>
          </w:tcPr>
          <w:p w14:paraId="7AEC1B73"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7.53</w:t>
            </w:r>
          </w:p>
        </w:tc>
      </w:tr>
      <w:tr w:rsidR="008B3E67" w:rsidRPr="00A46DC3" w14:paraId="172FD731" w14:textId="77777777" w:rsidTr="008B3E6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D6383E"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1380" w:type="dxa"/>
            <w:tcBorders>
              <w:top w:val="nil"/>
              <w:left w:val="nil"/>
              <w:bottom w:val="single" w:sz="4" w:space="0" w:color="auto"/>
              <w:right w:val="single" w:sz="4" w:space="0" w:color="auto"/>
            </w:tcBorders>
            <w:shd w:val="clear" w:color="auto" w:fill="auto"/>
            <w:vAlign w:val="center"/>
            <w:hideMark/>
          </w:tcPr>
          <w:p w14:paraId="43389C0F"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1,49,092.00</w:t>
            </w:r>
          </w:p>
        </w:tc>
        <w:tc>
          <w:tcPr>
            <w:tcW w:w="1620" w:type="dxa"/>
            <w:tcBorders>
              <w:top w:val="nil"/>
              <w:left w:val="nil"/>
              <w:bottom w:val="single" w:sz="4" w:space="0" w:color="auto"/>
              <w:right w:val="single" w:sz="4" w:space="0" w:color="auto"/>
            </w:tcBorders>
            <w:shd w:val="clear" w:color="auto" w:fill="auto"/>
            <w:noWrap/>
            <w:vAlign w:val="bottom"/>
            <w:hideMark/>
          </w:tcPr>
          <w:p w14:paraId="6DC7B6C0"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23,25,290</w:t>
            </w:r>
          </w:p>
        </w:tc>
        <w:tc>
          <w:tcPr>
            <w:tcW w:w="1940" w:type="dxa"/>
            <w:tcBorders>
              <w:top w:val="nil"/>
              <w:left w:val="nil"/>
              <w:bottom w:val="single" w:sz="4" w:space="0" w:color="auto"/>
              <w:right w:val="single" w:sz="4" w:space="0" w:color="auto"/>
            </w:tcBorders>
            <w:shd w:val="clear" w:color="auto" w:fill="auto"/>
            <w:noWrap/>
            <w:vAlign w:val="bottom"/>
            <w:hideMark/>
          </w:tcPr>
          <w:p w14:paraId="21BAD2A5"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6.41</w:t>
            </w:r>
          </w:p>
        </w:tc>
      </w:tr>
      <w:tr w:rsidR="008B3E67" w:rsidRPr="00A46DC3" w14:paraId="1E542765" w14:textId="77777777" w:rsidTr="008B3E6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F1EB6"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1380" w:type="dxa"/>
            <w:tcBorders>
              <w:top w:val="nil"/>
              <w:left w:val="nil"/>
              <w:bottom w:val="single" w:sz="4" w:space="0" w:color="auto"/>
              <w:right w:val="single" w:sz="4" w:space="0" w:color="auto"/>
            </w:tcBorders>
            <w:shd w:val="clear" w:color="auto" w:fill="auto"/>
            <w:vAlign w:val="center"/>
            <w:hideMark/>
          </w:tcPr>
          <w:p w14:paraId="5929F087"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1,26,389.00</w:t>
            </w:r>
          </w:p>
        </w:tc>
        <w:tc>
          <w:tcPr>
            <w:tcW w:w="1620" w:type="dxa"/>
            <w:tcBorders>
              <w:top w:val="nil"/>
              <w:left w:val="nil"/>
              <w:bottom w:val="single" w:sz="4" w:space="0" w:color="auto"/>
              <w:right w:val="single" w:sz="4" w:space="0" w:color="auto"/>
            </w:tcBorders>
            <w:shd w:val="clear" w:color="auto" w:fill="auto"/>
            <w:noWrap/>
            <w:vAlign w:val="bottom"/>
            <w:hideMark/>
          </w:tcPr>
          <w:p w14:paraId="38FD3EAA"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24,50,821</w:t>
            </w:r>
          </w:p>
        </w:tc>
        <w:tc>
          <w:tcPr>
            <w:tcW w:w="1940" w:type="dxa"/>
            <w:tcBorders>
              <w:top w:val="nil"/>
              <w:left w:val="nil"/>
              <w:bottom w:val="single" w:sz="4" w:space="0" w:color="auto"/>
              <w:right w:val="single" w:sz="4" w:space="0" w:color="auto"/>
            </w:tcBorders>
            <w:shd w:val="clear" w:color="auto" w:fill="auto"/>
            <w:noWrap/>
            <w:vAlign w:val="bottom"/>
            <w:hideMark/>
          </w:tcPr>
          <w:p w14:paraId="6659CE81"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5.16</w:t>
            </w:r>
          </w:p>
        </w:tc>
      </w:tr>
      <w:tr w:rsidR="008B3E67" w:rsidRPr="00A46DC3" w14:paraId="7BE38153" w14:textId="77777777" w:rsidTr="008B3E6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82330"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1380" w:type="dxa"/>
            <w:tcBorders>
              <w:top w:val="nil"/>
              <w:left w:val="nil"/>
              <w:bottom w:val="single" w:sz="4" w:space="0" w:color="auto"/>
              <w:right w:val="single" w:sz="4" w:space="0" w:color="auto"/>
            </w:tcBorders>
            <w:shd w:val="clear" w:color="auto" w:fill="auto"/>
            <w:vAlign w:val="center"/>
            <w:hideMark/>
          </w:tcPr>
          <w:p w14:paraId="24EAA595"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1,12,023.00</w:t>
            </w:r>
          </w:p>
        </w:tc>
        <w:tc>
          <w:tcPr>
            <w:tcW w:w="1620" w:type="dxa"/>
            <w:tcBorders>
              <w:top w:val="nil"/>
              <w:left w:val="nil"/>
              <w:bottom w:val="single" w:sz="4" w:space="0" w:color="auto"/>
              <w:right w:val="single" w:sz="4" w:space="0" w:color="auto"/>
            </w:tcBorders>
            <w:shd w:val="clear" w:color="auto" w:fill="auto"/>
            <w:noWrap/>
            <w:vAlign w:val="bottom"/>
            <w:hideMark/>
          </w:tcPr>
          <w:p w14:paraId="58DF00FF"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27,33,967</w:t>
            </w:r>
          </w:p>
        </w:tc>
        <w:tc>
          <w:tcPr>
            <w:tcW w:w="1940" w:type="dxa"/>
            <w:tcBorders>
              <w:top w:val="nil"/>
              <w:left w:val="nil"/>
              <w:bottom w:val="single" w:sz="4" w:space="0" w:color="auto"/>
              <w:right w:val="single" w:sz="4" w:space="0" w:color="auto"/>
            </w:tcBorders>
            <w:shd w:val="clear" w:color="auto" w:fill="auto"/>
            <w:noWrap/>
            <w:vAlign w:val="bottom"/>
            <w:hideMark/>
          </w:tcPr>
          <w:p w14:paraId="7E36157E"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4.10</w:t>
            </w:r>
          </w:p>
        </w:tc>
      </w:tr>
      <w:tr w:rsidR="008B3E67" w:rsidRPr="00A46DC3" w14:paraId="743B3614" w14:textId="77777777" w:rsidTr="008B3E67">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E54569"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1380" w:type="dxa"/>
            <w:tcBorders>
              <w:top w:val="nil"/>
              <w:left w:val="nil"/>
              <w:bottom w:val="single" w:sz="4" w:space="0" w:color="auto"/>
              <w:right w:val="single" w:sz="4" w:space="0" w:color="auto"/>
            </w:tcBorders>
            <w:shd w:val="clear" w:color="auto" w:fill="auto"/>
            <w:vAlign w:val="center"/>
            <w:hideMark/>
          </w:tcPr>
          <w:p w14:paraId="33A4BB84"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90,928.00</w:t>
            </w:r>
          </w:p>
        </w:tc>
        <w:tc>
          <w:tcPr>
            <w:tcW w:w="1620" w:type="dxa"/>
            <w:tcBorders>
              <w:top w:val="nil"/>
              <w:left w:val="nil"/>
              <w:bottom w:val="single" w:sz="4" w:space="0" w:color="auto"/>
              <w:right w:val="single" w:sz="4" w:space="0" w:color="auto"/>
            </w:tcBorders>
            <w:shd w:val="clear" w:color="auto" w:fill="auto"/>
            <w:noWrap/>
            <w:vAlign w:val="bottom"/>
            <w:hideMark/>
          </w:tcPr>
          <w:p w14:paraId="51BA7FC8"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30,35,000</w:t>
            </w:r>
          </w:p>
        </w:tc>
        <w:tc>
          <w:tcPr>
            <w:tcW w:w="1940" w:type="dxa"/>
            <w:tcBorders>
              <w:top w:val="nil"/>
              <w:left w:val="nil"/>
              <w:bottom w:val="single" w:sz="4" w:space="0" w:color="auto"/>
              <w:right w:val="single" w:sz="4" w:space="0" w:color="auto"/>
            </w:tcBorders>
            <w:shd w:val="clear" w:color="auto" w:fill="auto"/>
            <w:noWrap/>
            <w:vAlign w:val="bottom"/>
            <w:hideMark/>
          </w:tcPr>
          <w:p w14:paraId="7AC50AC6"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3.00</w:t>
            </w:r>
          </w:p>
        </w:tc>
      </w:tr>
      <w:tr w:rsidR="008B3E67" w:rsidRPr="00A46DC3" w14:paraId="0B145C75" w14:textId="77777777" w:rsidTr="00A950AA">
        <w:trPr>
          <w:trHeight w:val="310"/>
        </w:trPr>
        <w:tc>
          <w:tcPr>
            <w:tcW w:w="960" w:type="dxa"/>
            <w:tcBorders>
              <w:top w:val="nil"/>
              <w:left w:val="single" w:sz="4" w:space="0" w:color="auto"/>
              <w:bottom w:val="nil"/>
              <w:right w:val="single" w:sz="4" w:space="0" w:color="auto"/>
            </w:tcBorders>
            <w:shd w:val="clear" w:color="auto" w:fill="auto"/>
            <w:vAlign w:val="center"/>
            <w:hideMark/>
          </w:tcPr>
          <w:p w14:paraId="1E9689B0" w14:textId="77777777" w:rsidR="008B3E67" w:rsidRPr="00A46DC3" w:rsidRDefault="008B3E67" w:rsidP="008B3E67">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1380" w:type="dxa"/>
            <w:tcBorders>
              <w:top w:val="nil"/>
              <w:left w:val="nil"/>
              <w:bottom w:val="nil"/>
              <w:right w:val="single" w:sz="4" w:space="0" w:color="auto"/>
            </w:tcBorders>
            <w:shd w:val="clear" w:color="auto" w:fill="auto"/>
            <w:vAlign w:val="center"/>
            <w:hideMark/>
          </w:tcPr>
          <w:p w14:paraId="102CF87C"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84,276.00</w:t>
            </w:r>
          </w:p>
        </w:tc>
        <w:tc>
          <w:tcPr>
            <w:tcW w:w="1620" w:type="dxa"/>
            <w:tcBorders>
              <w:top w:val="nil"/>
              <w:left w:val="nil"/>
              <w:bottom w:val="nil"/>
              <w:right w:val="single" w:sz="4" w:space="0" w:color="auto"/>
            </w:tcBorders>
            <w:shd w:val="clear" w:color="auto" w:fill="auto"/>
            <w:noWrap/>
            <w:vAlign w:val="bottom"/>
            <w:hideMark/>
          </w:tcPr>
          <w:p w14:paraId="284574D4"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33,00,000</w:t>
            </w:r>
          </w:p>
        </w:tc>
        <w:tc>
          <w:tcPr>
            <w:tcW w:w="1940" w:type="dxa"/>
            <w:tcBorders>
              <w:top w:val="nil"/>
              <w:left w:val="nil"/>
              <w:bottom w:val="nil"/>
              <w:right w:val="single" w:sz="4" w:space="0" w:color="auto"/>
            </w:tcBorders>
            <w:shd w:val="clear" w:color="auto" w:fill="auto"/>
            <w:noWrap/>
            <w:vAlign w:val="bottom"/>
            <w:hideMark/>
          </w:tcPr>
          <w:p w14:paraId="0B9FC34F" w14:textId="77777777" w:rsidR="008B3E67" w:rsidRPr="00A46DC3" w:rsidRDefault="008B3E67" w:rsidP="008B3E67">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2.55</w:t>
            </w:r>
          </w:p>
        </w:tc>
      </w:tr>
      <w:tr w:rsidR="00A950AA" w:rsidRPr="00A46DC3" w14:paraId="576E6697" w14:textId="77777777" w:rsidTr="00147F24">
        <w:trPr>
          <w:trHeight w:val="150"/>
        </w:trPr>
        <w:tc>
          <w:tcPr>
            <w:tcW w:w="960" w:type="dxa"/>
            <w:tcBorders>
              <w:top w:val="nil"/>
              <w:left w:val="single" w:sz="4" w:space="0" w:color="auto"/>
              <w:bottom w:val="single" w:sz="4" w:space="0" w:color="auto"/>
              <w:right w:val="single" w:sz="4" w:space="0" w:color="auto"/>
            </w:tcBorders>
            <w:shd w:val="clear" w:color="auto" w:fill="auto"/>
            <w:vAlign w:val="center"/>
          </w:tcPr>
          <w:p w14:paraId="239D930A" w14:textId="77777777" w:rsidR="00A950AA" w:rsidRPr="00A46DC3" w:rsidRDefault="00A950AA" w:rsidP="00A950AA">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380" w:type="dxa"/>
            <w:tcBorders>
              <w:top w:val="nil"/>
              <w:left w:val="nil"/>
              <w:bottom w:val="single" w:sz="4" w:space="0" w:color="auto"/>
              <w:right w:val="single" w:sz="4" w:space="0" w:color="auto"/>
            </w:tcBorders>
            <w:shd w:val="clear" w:color="auto" w:fill="auto"/>
            <w:vAlign w:val="center"/>
          </w:tcPr>
          <w:p w14:paraId="6F1EAF03" w14:textId="77777777" w:rsidR="00A950AA" w:rsidRPr="00A46DC3" w:rsidRDefault="00A950AA" w:rsidP="00147F24">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620" w:type="dxa"/>
            <w:tcBorders>
              <w:top w:val="nil"/>
              <w:left w:val="nil"/>
              <w:bottom w:val="single" w:sz="4" w:space="0" w:color="auto"/>
              <w:right w:val="single" w:sz="4" w:space="0" w:color="auto"/>
            </w:tcBorders>
            <w:shd w:val="clear" w:color="auto" w:fill="auto"/>
            <w:noWrap/>
            <w:vAlign w:val="bottom"/>
          </w:tcPr>
          <w:p w14:paraId="072CF1C4" w14:textId="77777777" w:rsidR="00A950AA" w:rsidRPr="00A46DC3" w:rsidRDefault="00A950AA" w:rsidP="00147F24">
            <w:pPr>
              <w:spacing w:after="0" w:line="240" w:lineRule="auto"/>
              <w:rPr>
                <w:rFonts w:ascii="Times New Roman" w:eastAsia="Times New Roman" w:hAnsi="Times New Roman" w:cs="Times New Roman"/>
                <w:color w:val="000000"/>
                <w:kern w:val="0"/>
                <w:sz w:val="24"/>
                <w:szCs w:val="24"/>
                <w:lang w:val="en-IN" w:eastAsia="en-IN"/>
                <w14:ligatures w14:val="none"/>
              </w:rPr>
            </w:pPr>
          </w:p>
        </w:tc>
        <w:tc>
          <w:tcPr>
            <w:tcW w:w="1940" w:type="dxa"/>
            <w:tcBorders>
              <w:top w:val="nil"/>
              <w:left w:val="nil"/>
              <w:bottom w:val="single" w:sz="4" w:space="0" w:color="auto"/>
              <w:right w:val="single" w:sz="4" w:space="0" w:color="auto"/>
            </w:tcBorders>
            <w:shd w:val="clear" w:color="auto" w:fill="auto"/>
            <w:noWrap/>
            <w:vAlign w:val="bottom"/>
          </w:tcPr>
          <w:p w14:paraId="6243A06D" w14:textId="77777777" w:rsidR="00A950AA" w:rsidRPr="00A46DC3" w:rsidRDefault="00A950AA" w:rsidP="00147F24">
            <w:pPr>
              <w:spacing w:after="0" w:line="240" w:lineRule="auto"/>
              <w:rPr>
                <w:rFonts w:ascii="Times New Roman" w:eastAsia="Times New Roman" w:hAnsi="Times New Roman" w:cs="Times New Roman"/>
                <w:color w:val="000000"/>
                <w:kern w:val="0"/>
                <w:sz w:val="24"/>
                <w:szCs w:val="24"/>
                <w:lang w:val="en-IN" w:eastAsia="en-IN"/>
                <w14:ligatures w14:val="none"/>
              </w:rPr>
            </w:pPr>
          </w:p>
        </w:tc>
      </w:tr>
    </w:tbl>
    <w:p w14:paraId="59A903AC" w14:textId="4B5F0F31" w:rsidR="00A950AA" w:rsidRPr="00A46DC3" w:rsidRDefault="00A950AA" w:rsidP="00A950AA">
      <w:pPr>
        <w:tabs>
          <w:tab w:val="left" w:pos="5304"/>
        </w:tabs>
        <w:rPr>
          <w:rFonts w:ascii="Times New Roman" w:hAnsi="Times New Roman" w:cs="Times New Roman"/>
          <w:b/>
          <w:bCs/>
          <w:sz w:val="24"/>
          <w:szCs w:val="24"/>
        </w:rPr>
      </w:pPr>
    </w:p>
    <w:p w14:paraId="7B35333E" w14:textId="32A00A9D" w:rsidR="008B3C15" w:rsidRPr="00A46DC3" w:rsidRDefault="007F1B27" w:rsidP="00A950A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lastRenderedPageBreak/>
        <w:t>Figure</w:t>
      </w:r>
      <w:r w:rsidR="008B3C15" w:rsidRPr="00A46DC3">
        <w:rPr>
          <w:rFonts w:ascii="Times New Roman" w:hAnsi="Times New Roman" w:cs="Times New Roman"/>
          <w:b/>
          <w:bCs/>
          <w:sz w:val="24"/>
          <w:szCs w:val="24"/>
        </w:rPr>
        <w:t xml:space="preserve"> 4.6: Showing the Gross NPA Ratio of State Bank of India</w:t>
      </w:r>
    </w:p>
    <w:p w14:paraId="1E7D4A6C" w14:textId="226361BB" w:rsidR="00A950AA" w:rsidRPr="00A46DC3" w:rsidRDefault="00A950AA" w:rsidP="00A950AA">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drawing>
          <wp:inline distT="0" distB="0" distL="0" distR="0" wp14:anchorId="0F3BB252" wp14:editId="2F8E5948">
            <wp:extent cx="4572000" cy="2743200"/>
            <wp:effectExtent l="0" t="0" r="0" b="0"/>
            <wp:docPr id="734426250" name="Chart 1">
              <a:extLst xmlns:a="http://schemas.openxmlformats.org/drawingml/2006/main">
                <a:ext uri="{FF2B5EF4-FFF2-40B4-BE49-F238E27FC236}">
                  <a16:creationId xmlns:a16="http://schemas.microsoft.com/office/drawing/2014/main" id="{89CCBE45-8A49-2829-D1FA-28233E5D6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359E5EAA" w14:textId="0ECF43A2" w:rsidR="00147F24" w:rsidRPr="00A46DC3" w:rsidRDefault="00915024" w:rsidP="00434307">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00F27C04" w:rsidRPr="00A46DC3">
        <w:rPr>
          <w:rFonts w:ascii="Times New Roman" w:hAnsi="Times New Roman" w:cs="Times New Roman"/>
          <w:b/>
          <w:bCs/>
          <w:sz w:val="24"/>
          <w:szCs w:val="24"/>
        </w:rPr>
        <w:t>Gross NPA</w:t>
      </w:r>
      <w:r w:rsidR="00F27C04" w:rsidRPr="00A46DC3">
        <w:rPr>
          <w:rFonts w:ascii="Times New Roman" w:hAnsi="Times New Roman" w:cs="Times New Roman"/>
          <w:sz w:val="24"/>
          <w:szCs w:val="24"/>
        </w:rPr>
        <w:t xml:space="preserve"> has shown a </w:t>
      </w:r>
      <w:r w:rsidR="00F27C04" w:rsidRPr="00A46DC3">
        <w:rPr>
          <w:rFonts w:ascii="Times New Roman" w:hAnsi="Times New Roman" w:cs="Times New Roman"/>
          <w:b/>
          <w:bCs/>
          <w:sz w:val="24"/>
          <w:szCs w:val="24"/>
        </w:rPr>
        <w:t>steady decline</w:t>
      </w:r>
      <w:r w:rsidR="00F27C04" w:rsidRPr="00A46DC3">
        <w:rPr>
          <w:rFonts w:ascii="Times New Roman" w:hAnsi="Times New Roman" w:cs="Times New Roman"/>
          <w:sz w:val="24"/>
          <w:szCs w:val="24"/>
        </w:rPr>
        <w:t xml:space="preserve"> from </w:t>
      </w:r>
      <w:r w:rsidR="00F27C04" w:rsidRPr="00A46DC3">
        <w:rPr>
          <w:rFonts w:ascii="Times New Roman" w:hAnsi="Times New Roman" w:cs="Times New Roman"/>
          <w:b/>
          <w:bCs/>
          <w:sz w:val="24"/>
          <w:szCs w:val="24"/>
        </w:rPr>
        <w:t>₹1,72,750 crore in 2019</w:t>
      </w:r>
      <w:r w:rsidR="00F27C04" w:rsidRPr="00A46DC3">
        <w:rPr>
          <w:rFonts w:ascii="Times New Roman" w:hAnsi="Times New Roman" w:cs="Times New Roman"/>
          <w:sz w:val="24"/>
          <w:szCs w:val="24"/>
        </w:rPr>
        <w:t xml:space="preserve"> to </w:t>
      </w:r>
      <w:r w:rsidR="00F27C04" w:rsidRPr="00A46DC3">
        <w:rPr>
          <w:rFonts w:ascii="Times New Roman" w:hAnsi="Times New Roman" w:cs="Times New Roman"/>
          <w:b/>
          <w:bCs/>
          <w:sz w:val="24"/>
          <w:szCs w:val="24"/>
        </w:rPr>
        <w:t>₹84,276 crore in 2024</w:t>
      </w:r>
      <w:r w:rsidR="00F27C04" w:rsidRPr="00A46DC3">
        <w:rPr>
          <w:rFonts w:ascii="Times New Roman" w:hAnsi="Times New Roman" w:cs="Times New Roman"/>
          <w:sz w:val="24"/>
          <w:szCs w:val="24"/>
        </w:rPr>
        <w:t xml:space="preserve">. This suggests that SBI has been effectively reducing its bad loans over the years. The largest reduction came in </w:t>
      </w:r>
      <w:r w:rsidR="00F27C04" w:rsidRPr="00A46DC3">
        <w:rPr>
          <w:rFonts w:ascii="Times New Roman" w:hAnsi="Times New Roman" w:cs="Times New Roman"/>
          <w:b/>
          <w:bCs/>
          <w:sz w:val="24"/>
          <w:szCs w:val="24"/>
        </w:rPr>
        <w:t>2020</w:t>
      </w:r>
      <w:r w:rsidR="00F27C04" w:rsidRPr="00A46DC3">
        <w:rPr>
          <w:rFonts w:ascii="Times New Roman" w:hAnsi="Times New Roman" w:cs="Times New Roman"/>
          <w:sz w:val="24"/>
          <w:szCs w:val="24"/>
        </w:rPr>
        <w:t xml:space="preserve">, followed by a </w:t>
      </w:r>
      <w:r w:rsidR="00F27C04" w:rsidRPr="00A46DC3">
        <w:rPr>
          <w:rFonts w:ascii="Times New Roman" w:hAnsi="Times New Roman" w:cs="Times New Roman"/>
          <w:b/>
          <w:bCs/>
          <w:sz w:val="24"/>
          <w:szCs w:val="24"/>
        </w:rPr>
        <w:t>continued decline</w:t>
      </w:r>
      <w:r w:rsidR="00F27C04" w:rsidRPr="00A46DC3">
        <w:rPr>
          <w:rFonts w:ascii="Times New Roman" w:hAnsi="Times New Roman" w:cs="Times New Roman"/>
          <w:sz w:val="24"/>
          <w:szCs w:val="24"/>
        </w:rPr>
        <w:t xml:space="preserve"> in the following years. This indicates that SBI has been actively addressing and recovering non-performing loans, which is a positive sign of improving asset quality. </w:t>
      </w:r>
      <w:r w:rsidR="00C62CAA" w:rsidRPr="00A46DC3">
        <w:rPr>
          <w:rFonts w:ascii="Times New Roman" w:hAnsi="Times New Roman" w:cs="Times New Roman"/>
          <w:b/>
          <w:bCs/>
          <w:sz w:val="24"/>
          <w:szCs w:val="24"/>
        </w:rPr>
        <w:t>Total Advances</w:t>
      </w:r>
      <w:r w:rsidR="00C62CAA" w:rsidRPr="00A46DC3">
        <w:rPr>
          <w:rFonts w:ascii="Times New Roman" w:hAnsi="Times New Roman" w:cs="Times New Roman"/>
          <w:sz w:val="24"/>
          <w:szCs w:val="24"/>
        </w:rPr>
        <w:t xml:space="preserve"> have </w:t>
      </w:r>
      <w:r w:rsidR="00C62CAA" w:rsidRPr="00A46DC3">
        <w:rPr>
          <w:rFonts w:ascii="Times New Roman" w:hAnsi="Times New Roman" w:cs="Times New Roman"/>
          <w:b/>
          <w:bCs/>
          <w:sz w:val="24"/>
          <w:szCs w:val="24"/>
        </w:rPr>
        <w:t>consistently grown</w:t>
      </w:r>
      <w:r w:rsidR="00C62CAA" w:rsidRPr="00A46DC3">
        <w:rPr>
          <w:rFonts w:ascii="Times New Roman" w:hAnsi="Times New Roman" w:cs="Times New Roman"/>
          <w:sz w:val="24"/>
          <w:szCs w:val="24"/>
        </w:rPr>
        <w:t xml:space="preserve"> from </w:t>
      </w:r>
      <w:r w:rsidR="00C62CAA" w:rsidRPr="00A46DC3">
        <w:rPr>
          <w:rFonts w:ascii="Times New Roman" w:hAnsi="Times New Roman" w:cs="Times New Roman"/>
          <w:b/>
          <w:bCs/>
          <w:sz w:val="24"/>
          <w:szCs w:val="24"/>
        </w:rPr>
        <w:t>₹22,93,000 crore in 2019</w:t>
      </w:r>
      <w:r w:rsidR="00C62CAA" w:rsidRPr="00A46DC3">
        <w:rPr>
          <w:rFonts w:ascii="Times New Roman" w:hAnsi="Times New Roman" w:cs="Times New Roman"/>
          <w:sz w:val="24"/>
          <w:szCs w:val="24"/>
        </w:rPr>
        <w:t xml:space="preserve"> to </w:t>
      </w:r>
      <w:r w:rsidR="00C62CAA" w:rsidRPr="00A46DC3">
        <w:rPr>
          <w:rFonts w:ascii="Times New Roman" w:hAnsi="Times New Roman" w:cs="Times New Roman"/>
          <w:b/>
          <w:bCs/>
          <w:sz w:val="24"/>
          <w:szCs w:val="24"/>
        </w:rPr>
        <w:t>₹33,00,000 crore in 2024</w:t>
      </w:r>
      <w:r w:rsidR="00C62CAA" w:rsidRPr="00A46DC3">
        <w:rPr>
          <w:rFonts w:ascii="Times New Roman" w:hAnsi="Times New Roman" w:cs="Times New Roman"/>
          <w:sz w:val="24"/>
          <w:szCs w:val="24"/>
        </w:rPr>
        <w:t xml:space="preserve">. This shows that SBI has been actively expanding its loan portfolio, reflecting business growth. The bank has been increasing its lending activity, which is expected to contribute to higher future revenues, but it has also effectively managed to reduce its </w:t>
      </w:r>
      <w:r w:rsidR="00C62CAA" w:rsidRPr="00A46DC3">
        <w:rPr>
          <w:rFonts w:ascii="Times New Roman" w:hAnsi="Times New Roman" w:cs="Times New Roman"/>
          <w:b/>
          <w:bCs/>
          <w:sz w:val="24"/>
          <w:szCs w:val="24"/>
        </w:rPr>
        <w:t>Gross NPA</w:t>
      </w:r>
      <w:r w:rsidR="00C62CAA" w:rsidRPr="00A46DC3">
        <w:rPr>
          <w:rFonts w:ascii="Times New Roman" w:hAnsi="Times New Roman" w:cs="Times New Roman"/>
          <w:sz w:val="24"/>
          <w:szCs w:val="24"/>
        </w:rPr>
        <w:t xml:space="preserve"> at the same time.</w:t>
      </w:r>
      <w:r w:rsidR="00434307" w:rsidRPr="00A46DC3">
        <w:rPr>
          <w:rFonts w:ascii="Times New Roman" w:hAnsi="Times New Roman" w:cs="Times New Roman"/>
          <w:sz w:val="24"/>
          <w:szCs w:val="24"/>
        </w:rPr>
        <w:t xml:space="preserve"> </w:t>
      </w:r>
      <w:r w:rsidR="00434307" w:rsidRPr="00A46DC3">
        <w:rPr>
          <w:rFonts w:ascii="Times New Roman" w:hAnsi="Times New Roman" w:cs="Times New Roman"/>
          <w:b/>
          <w:bCs/>
          <w:sz w:val="24"/>
          <w:szCs w:val="24"/>
        </w:rPr>
        <w:t>GPA Ratio</w:t>
      </w:r>
      <w:r w:rsidR="00434307" w:rsidRPr="00A46DC3">
        <w:rPr>
          <w:rFonts w:ascii="Times New Roman" w:hAnsi="Times New Roman" w:cs="Times New Roman"/>
          <w:sz w:val="24"/>
          <w:szCs w:val="24"/>
        </w:rPr>
        <w:t xml:space="preserve"> has been consistently </w:t>
      </w:r>
      <w:r w:rsidR="00434307" w:rsidRPr="00A46DC3">
        <w:rPr>
          <w:rFonts w:ascii="Times New Roman" w:hAnsi="Times New Roman" w:cs="Times New Roman"/>
          <w:b/>
          <w:bCs/>
          <w:sz w:val="24"/>
          <w:szCs w:val="24"/>
        </w:rPr>
        <w:t>declining</w:t>
      </w:r>
      <w:r w:rsidR="00434307" w:rsidRPr="00A46DC3">
        <w:rPr>
          <w:rFonts w:ascii="Times New Roman" w:hAnsi="Times New Roman" w:cs="Times New Roman"/>
          <w:sz w:val="24"/>
          <w:szCs w:val="24"/>
        </w:rPr>
        <w:t xml:space="preserve"> from </w:t>
      </w:r>
      <w:r w:rsidR="00434307" w:rsidRPr="00A46DC3">
        <w:rPr>
          <w:rFonts w:ascii="Times New Roman" w:hAnsi="Times New Roman" w:cs="Times New Roman"/>
          <w:b/>
          <w:bCs/>
          <w:sz w:val="24"/>
          <w:szCs w:val="24"/>
        </w:rPr>
        <w:t>7.53% in 2019</w:t>
      </w:r>
      <w:r w:rsidR="00434307" w:rsidRPr="00A46DC3">
        <w:rPr>
          <w:rFonts w:ascii="Times New Roman" w:hAnsi="Times New Roman" w:cs="Times New Roman"/>
          <w:sz w:val="24"/>
          <w:szCs w:val="24"/>
        </w:rPr>
        <w:t xml:space="preserve"> to </w:t>
      </w:r>
      <w:r w:rsidR="00434307" w:rsidRPr="00A46DC3">
        <w:rPr>
          <w:rFonts w:ascii="Times New Roman" w:hAnsi="Times New Roman" w:cs="Times New Roman"/>
          <w:b/>
          <w:bCs/>
          <w:sz w:val="24"/>
          <w:szCs w:val="24"/>
        </w:rPr>
        <w:t>2.55% in 2024</w:t>
      </w:r>
      <w:r w:rsidR="00434307" w:rsidRPr="00A46DC3">
        <w:rPr>
          <w:rFonts w:ascii="Times New Roman" w:hAnsi="Times New Roman" w:cs="Times New Roman"/>
          <w:sz w:val="24"/>
          <w:szCs w:val="24"/>
        </w:rPr>
        <w:t xml:space="preserve">, which is a </w:t>
      </w:r>
      <w:r w:rsidR="00434307" w:rsidRPr="00A46DC3">
        <w:rPr>
          <w:rFonts w:ascii="Times New Roman" w:hAnsi="Times New Roman" w:cs="Times New Roman"/>
          <w:b/>
          <w:bCs/>
          <w:sz w:val="24"/>
          <w:szCs w:val="24"/>
        </w:rPr>
        <w:t>positive development</w:t>
      </w:r>
      <w:r w:rsidR="00434307" w:rsidRPr="00A46DC3">
        <w:rPr>
          <w:rFonts w:ascii="Times New Roman" w:hAnsi="Times New Roman" w:cs="Times New Roman"/>
          <w:sz w:val="24"/>
          <w:szCs w:val="24"/>
        </w:rPr>
        <w:t xml:space="preserve">. This decline shows that the bank is reducing the proportion of non-performing loans relative to its total advances, indicating an overall improvement in the quality of the loan portfolio. The decline in the </w:t>
      </w:r>
      <w:r w:rsidR="00434307" w:rsidRPr="00A46DC3">
        <w:rPr>
          <w:rFonts w:ascii="Times New Roman" w:hAnsi="Times New Roman" w:cs="Times New Roman"/>
          <w:b/>
          <w:bCs/>
          <w:sz w:val="24"/>
          <w:szCs w:val="24"/>
        </w:rPr>
        <w:t>GPA Ratio</w:t>
      </w:r>
      <w:r w:rsidR="00434307" w:rsidRPr="00A46DC3">
        <w:rPr>
          <w:rFonts w:ascii="Times New Roman" w:hAnsi="Times New Roman" w:cs="Times New Roman"/>
          <w:sz w:val="24"/>
          <w:szCs w:val="24"/>
        </w:rPr>
        <w:t xml:space="preserve"> also indicates that SBI has been able to manage the credit risk associated with its growing loan book more effectively. A </w:t>
      </w:r>
      <w:r w:rsidR="00434307" w:rsidRPr="00A46DC3">
        <w:rPr>
          <w:rFonts w:ascii="Times New Roman" w:hAnsi="Times New Roman" w:cs="Times New Roman"/>
          <w:b/>
          <w:bCs/>
          <w:sz w:val="24"/>
          <w:szCs w:val="24"/>
        </w:rPr>
        <w:t>GPA Ratio of 2.55% in 2024</w:t>
      </w:r>
      <w:r w:rsidR="00434307" w:rsidRPr="00A46DC3">
        <w:rPr>
          <w:rFonts w:ascii="Times New Roman" w:hAnsi="Times New Roman" w:cs="Times New Roman"/>
          <w:sz w:val="24"/>
          <w:szCs w:val="24"/>
        </w:rPr>
        <w:t xml:space="preserve"> is relatively low, suggesting that a smaller portion of SBI's loans are at risk of default, which is favourable from a financial stability perspective.</w:t>
      </w:r>
    </w:p>
    <w:p w14:paraId="02D6B256" w14:textId="67202DF4" w:rsidR="00D60E8E" w:rsidRPr="00A46DC3" w:rsidRDefault="00D60E8E" w:rsidP="00D60E8E">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7</w:t>
      </w:r>
      <w:r w:rsidR="00CC6D77" w:rsidRPr="00A46DC3">
        <w:rPr>
          <w:rFonts w:ascii="Times New Roman" w:hAnsi="Times New Roman" w:cs="Times New Roman"/>
          <w:b/>
          <w:bCs/>
          <w:sz w:val="24"/>
          <w:szCs w:val="24"/>
        </w:rPr>
        <w:t xml:space="preserve"> </w:t>
      </w:r>
      <w:r w:rsidRPr="00A46DC3">
        <w:rPr>
          <w:rFonts w:ascii="Times New Roman" w:hAnsi="Times New Roman" w:cs="Times New Roman"/>
          <w:b/>
          <w:bCs/>
          <w:sz w:val="24"/>
          <w:szCs w:val="24"/>
        </w:rPr>
        <w:t>Capital Adequacy Ratio</w:t>
      </w:r>
    </w:p>
    <w:p w14:paraId="01844C30" w14:textId="22C04404" w:rsidR="00D60E8E" w:rsidRPr="00A46DC3" w:rsidRDefault="00D60E8E" w:rsidP="00D60E8E">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7</w:t>
      </w:r>
      <w:r w:rsidRPr="00A46DC3">
        <w:rPr>
          <w:rFonts w:ascii="Times New Roman" w:hAnsi="Times New Roman" w:cs="Times New Roman"/>
          <w:b/>
          <w:bCs/>
          <w:sz w:val="24"/>
          <w:szCs w:val="24"/>
        </w:rPr>
        <w:t>: Showing the Capital Adequacy Ratio of State Bank of India</w:t>
      </w:r>
    </w:p>
    <w:tbl>
      <w:tblPr>
        <w:tblStyle w:val="TableGrid"/>
        <w:tblW w:w="0" w:type="auto"/>
        <w:tblLook w:val="04A0" w:firstRow="1" w:lastRow="0" w:firstColumn="1" w:lastColumn="0" w:noHBand="0" w:noVBand="1"/>
      </w:tblPr>
      <w:tblGrid>
        <w:gridCol w:w="4499"/>
        <w:gridCol w:w="4517"/>
      </w:tblGrid>
      <w:tr w:rsidR="00D60E8E" w:rsidRPr="00A46DC3" w14:paraId="24086D0C" w14:textId="77777777" w:rsidTr="00724A0E">
        <w:tc>
          <w:tcPr>
            <w:tcW w:w="4499" w:type="dxa"/>
          </w:tcPr>
          <w:p w14:paraId="4B6B70BB" w14:textId="77777777" w:rsidR="00D60E8E" w:rsidRPr="00A46DC3" w:rsidRDefault="00D60E8E"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YEAR</w:t>
            </w:r>
          </w:p>
        </w:tc>
        <w:tc>
          <w:tcPr>
            <w:tcW w:w="4517" w:type="dxa"/>
          </w:tcPr>
          <w:p w14:paraId="73D0959C" w14:textId="77777777" w:rsidR="00D60E8E" w:rsidRPr="00A46DC3" w:rsidRDefault="00D60E8E"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CAPITAL ADEQUACY RATIO</w:t>
            </w:r>
          </w:p>
        </w:tc>
      </w:tr>
      <w:tr w:rsidR="00D60E8E" w:rsidRPr="00A46DC3" w14:paraId="14D61680" w14:textId="77777777" w:rsidTr="00724A0E">
        <w:tc>
          <w:tcPr>
            <w:tcW w:w="4499" w:type="dxa"/>
          </w:tcPr>
          <w:p w14:paraId="724C2412"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2019</w:t>
            </w:r>
          </w:p>
        </w:tc>
        <w:tc>
          <w:tcPr>
            <w:tcW w:w="4517" w:type="dxa"/>
          </w:tcPr>
          <w:p w14:paraId="6E10C803" w14:textId="6A1052E2"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12.72%</w:t>
            </w:r>
          </w:p>
        </w:tc>
      </w:tr>
      <w:tr w:rsidR="00D60E8E" w:rsidRPr="00A46DC3" w14:paraId="21B1B921" w14:textId="77777777" w:rsidTr="00724A0E">
        <w:tc>
          <w:tcPr>
            <w:tcW w:w="4499" w:type="dxa"/>
          </w:tcPr>
          <w:p w14:paraId="7429E644"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2020</w:t>
            </w:r>
          </w:p>
        </w:tc>
        <w:tc>
          <w:tcPr>
            <w:tcW w:w="4517" w:type="dxa"/>
          </w:tcPr>
          <w:p w14:paraId="0673C0A2" w14:textId="308902DA"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13.06%</w:t>
            </w:r>
          </w:p>
        </w:tc>
      </w:tr>
      <w:tr w:rsidR="00D60E8E" w:rsidRPr="00A46DC3" w14:paraId="26AE7C00" w14:textId="77777777" w:rsidTr="00724A0E">
        <w:tc>
          <w:tcPr>
            <w:tcW w:w="4499" w:type="dxa"/>
          </w:tcPr>
          <w:p w14:paraId="3A17FC42"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2021</w:t>
            </w:r>
          </w:p>
        </w:tc>
        <w:tc>
          <w:tcPr>
            <w:tcW w:w="4517" w:type="dxa"/>
          </w:tcPr>
          <w:p w14:paraId="45353E94" w14:textId="3EEE41E2"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13.74%</w:t>
            </w:r>
          </w:p>
        </w:tc>
      </w:tr>
      <w:tr w:rsidR="00D60E8E" w:rsidRPr="00A46DC3" w14:paraId="69EA77FA" w14:textId="77777777" w:rsidTr="00724A0E">
        <w:tc>
          <w:tcPr>
            <w:tcW w:w="4499" w:type="dxa"/>
          </w:tcPr>
          <w:p w14:paraId="0ED7C360"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2022</w:t>
            </w:r>
          </w:p>
        </w:tc>
        <w:tc>
          <w:tcPr>
            <w:tcW w:w="4517" w:type="dxa"/>
          </w:tcPr>
          <w:p w14:paraId="066EF645" w14:textId="117FFD74"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13.83%</w:t>
            </w:r>
          </w:p>
        </w:tc>
      </w:tr>
      <w:tr w:rsidR="00D60E8E" w:rsidRPr="00A46DC3" w14:paraId="5F676815" w14:textId="77777777" w:rsidTr="00724A0E">
        <w:tc>
          <w:tcPr>
            <w:tcW w:w="4499" w:type="dxa"/>
          </w:tcPr>
          <w:p w14:paraId="63099386"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2023</w:t>
            </w:r>
          </w:p>
        </w:tc>
        <w:tc>
          <w:tcPr>
            <w:tcW w:w="4517" w:type="dxa"/>
          </w:tcPr>
          <w:p w14:paraId="016D767E" w14:textId="5DEC80D8"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14.68%</w:t>
            </w:r>
          </w:p>
        </w:tc>
      </w:tr>
      <w:tr w:rsidR="00D60E8E" w:rsidRPr="00A46DC3" w14:paraId="194999DB" w14:textId="77777777" w:rsidTr="00724A0E">
        <w:tc>
          <w:tcPr>
            <w:tcW w:w="4499" w:type="dxa"/>
          </w:tcPr>
          <w:p w14:paraId="1D10E332" w14:textId="77777777" w:rsidR="00D60E8E" w:rsidRPr="00A46DC3" w:rsidRDefault="00D60E8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2024</w:t>
            </w:r>
          </w:p>
        </w:tc>
        <w:tc>
          <w:tcPr>
            <w:tcW w:w="4517" w:type="dxa"/>
          </w:tcPr>
          <w:p w14:paraId="2BE8B3E1" w14:textId="010A3C71" w:rsidR="00D60E8E" w:rsidRPr="00A46DC3" w:rsidRDefault="00D02CB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14.28%</w:t>
            </w:r>
          </w:p>
        </w:tc>
      </w:tr>
    </w:tbl>
    <w:p w14:paraId="21501596" w14:textId="77777777" w:rsidR="00724A0E" w:rsidRPr="00A46DC3" w:rsidRDefault="00724A0E" w:rsidP="00BC601C">
      <w:pPr>
        <w:tabs>
          <w:tab w:val="left" w:pos="5304"/>
        </w:tabs>
        <w:rPr>
          <w:rFonts w:ascii="Times New Roman" w:hAnsi="Times New Roman" w:cs="Times New Roman"/>
          <w:b/>
          <w:bCs/>
          <w:sz w:val="24"/>
          <w:szCs w:val="24"/>
        </w:rPr>
      </w:pPr>
    </w:p>
    <w:p w14:paraId="15ED17DA" w14:textId="430D8A1A" w:rsidR="007F1B27" w:rsidRPr="00A46DC3" w:rsidRDefault="007F1B27" w:rsidP="007F1B2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4.7: Showing the Capital Adequacy Ratio of State Bank of India</w:t>
      </w:r>
    </w:p>
    <w:p w14:paraId="37D4FDE5" w14:textId="77777777" w:rsidR="007F1B27" w:rsidRPr="00A46DC3" w:rsidRDefault="007F1B27" w:rsidP="00BC601C">
      <w:pPr>
        <w:tabs>
          <w:tab w:val="left" w:pos="5304"/>
        </w:tabs>
        <w:rPr>
          <w:rFonts w:ascii="Times New Roman" w:hAnsi="Times New Roman" w:cs="Times New Roman"/>
          <w:b/>
          <w:bCs/>
          <w:sz w:val="24"/>
          <w:szCs w:val="24"/>
        </w:rPr>
      </w:pPr>
    </w:p>
    <w:p w14:paraId="24A3E7CD" w14:textId="138CF2EC" w:rsidR="00BC601C" w:rsidRPr="00A46DC3" w:rsidRDefault="00724A0E" w:rsidP="00BC601C">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drawing>
          <wp:inline distT="0" distB="0" distL="0" distR="0" wp14:anchorId="4EDF6B9D" wp14:editId="72C1CEF2">
            <wp:extent cx="4481689" cy="2607733"/>
            <wp:effectExtent l="0" t="0" r="14605" b="2540"/>
            <wp:docPr id="1216371872" name="Chart 1">
              <a:extLst xmlns:a="http://schemas.openxmlformats.org/drawingml/2006/main">
                <a:ext uri="{FF2B5EF4-FFF2-40B4-BE49-F238E27FC236}">
                  <a16:creationId xmlns:a16="http://schemas.microsoft.com/office/drawing/2014/main" id="{047952FA-FFE5-9910-8184-255155FE6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579F071A" w14:textId="533251EF" w:rsidR="00D53FBF" w:rsidRPr="00A46DC3" w:rsidRDefault="009D025B" w:rsidP="008D26AA">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From </w:t>
      </w:r>
      <w:r w:rsidRPr="00A46DC3">
        <w:rPr>
          <w:rFonts w:ascii="Times New Roman" w:hAnsi="Times New Roman" w:cs="Times New Roman"/>
          <w:b/>
          <w:bCs/>
          <w:sz w:val="24"/>
          <w:szCs w:val="24"/>
        </w:rPr>
        <w:t>12.72% in 2019</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14.28% in 2024</w:t>
      </w:r>
      <w:r w:rsidRPr="00A46DC3">
        <w:rPr>
          <w:rFonts w:ascii="Times New Roman" w:hAnsi="Times New Roman" w:cs="Times New Roman"/>
          <w:sz w:val="24"/>
          <w:szCs w:val="24"/>
        </w:rPr>
        <w:t xml:space="preserve">, </w:t>
      </w:r>
      <w:r w:rsidRPr="00A46DC3">
        <w:rPr>
          <w:rFonts w:ascii="Times New Roman" w:hAnsi="Times New Roman" w:cs="Times New Roman"/>
          <w:b/>
          <w:bCs/>
          <w:sz w:val="24"/>
          <w:szCs w:val="24"/>
        </w:rPr>
        <w:t>SBI's CAR</w:t>
      </w:r>
      <w:r w:rsidRPr="00A46DC3">
        <w:rPr>
          <w:rFonts w:ascii="Times New Roman" w:hAnsi="Times New Roman" w:cs="Times New Roman"/>
          <w:sz w:val="24"/>
          <w:szCs w:val="24"/>
        </w:rPr>
        <w:t xml:space="preserve"> has shown a </w:t>
      </w:r>
      <w:r w:rsidRPr="00A46DC3">
        <w:rPr>
          <w:rFonts w:ascii="Times New Roman" w:hAnsi="Times New Roman" w:cs="Times New Roman"/>
          <w:b/>
          <w:bCs/>
          <w:sz w:val="24"/>
          <w:szCs w:val="24"/>
        </w:rPr>
        <w:t>consistent upward trend</w:t>
      </w:r>
      <w:r w:rsidRPr="00A46DC3">
        <w:rPr>
          <w:rFonts w:ascii="Times New Roman" w:hAnsi="Times New Roman" w:cs="Times New Roman"/>
          <w:sz w:val="24"/>
          <w:szCs w:val="24"/>
        </w:rPr>
        <w:t xml:space="preserve"> over the years, indicating that the bank has been strengthening its capital base. The increase in CAR suggests that SBI has been raising its capital reserves through retained earnings or equity issuance, which provides a stronger cushion against potential losses and enhances its ability to absorb financial shocks.</w:t>
      </w:r>
      <w:r w:rsidR="009A5F52" w:rsidRPr="00A46DC3">
        <w:rPr>
          <w:rFonts w:ascii="Times New Roman" w:hAnsi="Times New Roman" w:cs="Times New Roman"/>
          <w:sz w:val="24"/>
          <w:szCs w:val="24"/>
        </w:rPr>
        <w:t xml:space="preserve"> A </w:t>
      </w:r>
      <w:r w:rsidR="009A5F52" w:rsidRPr="00A46DC3">
        <w:rPr>
          <w:rFonts w:ascii="Times New Roman" w:hAnsi="Times New Roman" w:cs="Times New Roman"/>
          <w:b/>
          <w:bCs/>
          <w:sz w:val="24"/>
          <w:szCs w:val="24"/>
        </w:rPr>
        <w:t>CAR</w:t>
      </w:r>
      <w:r w:rsidR="009A5F52" w:rsidRPr="00A46DC3">
        <w:rPr>
          <w:rFonts w:ascii="Times New Roman" w:hAnsi="Times New Roman" w:cs="Times New Roman"/>
          <w:sz w:val="24"/>
          <w:szCs w:val="24"/>
        </w:rPr>
        <w:t xml:space="preserve"> above the regulatory minimum (usually around 9%-12% for banks, depending on the regulatory framework) is a good sign, and </w:t>
      </w:r>
      <w:r w:rsidR="009A5F52" w:rsidRPr="00A46DC3">
        <w:rPr>
          <w:rFonts w:ascii="Times New Roman" w:hAnsi="Times New Roman" w:cs="Times New Roman"/>
          <w:b/>
          <w:bCs/>
          <w:sz w:val="24"/>
          <w:szCs w:val="24"/>
        </w:rPr>
        <w:t>SBI's CAR</w:t>
      </w:r>
      <w:r w:rsidR="009A5F52" w:rsidRPr="00A46DC3">
        <w:rPr>
          <w:rFonts w:ascii="Times New Roman" w:hAnsi="Times New Roman" w:cs="Times New Roman"/>
          <w:sz w:val="24"/>
          <w:szCs w:val="24"/>
        </w:rPr>
        <w:t xml:space="preserve"> is comfortably above the minimum required level. The ratio suggests that the bank has been maintaining a solid </w:t>
      </w:r>
      <w:r w:rsidR="009A5F52" w:rsidRPr="00A46DC3">
        <w:rPr>
          <w:rFonts w:ascii="Times New Roman" w:hAnsi="Times New Roman" w:cs="Times New Roman"/>
          <w:b/>
          <w:bCs/>
          <w:sz w:val="24"/>
          <w:szCs w:val="24"/>
        </w:rPr>
        <w:t>capital position</w:t>
      </w:r>
      <w:r w:rsidR="009A5F52" w:rsidRPr="00A46DC3">
        <w:rPr>
          <w:rFonts w:ascii="Times New Roman" w:hAnsi="Times New Roman" w:cs="Times New Roman"/>
          <w:sz w:val="24"/>
          <w:szCs w:val="24"/>
        </w:rPr>
        <w:t xml:space="preserve">, which is essential for stability and growth. In </w:t>
      </w:r>
      <w:r w:rsidR="009A5F52" w:rsidRPr="00A46DC3">
        <w:rPr>
          <w:rFonts w:ascii="Times New Roman" w:hAnsi="Times New Roman" w:cs="Times New Roman"/>
          <w:b/>
          <w:bCs/>
          <w:sz w:val="24"/>
          <w:szCs w:val="24"/>
        </w:rPr>
        <w:t>2024</w:t>
      </w:r>
      <w:r w:rsidR="009A5F52" w:rsidRPr="00A46DC3">
        <w:rPr>
          <w:rFonts w:ascii="Times New Roman" w:hAnsi="Times New Roman" w:cs="Times New Roman"/>
          <w:sz w:val="24"/>
          <w:szCs w:val="24"/>
        </w:rPr>
        <w:t xml:space="preserve">, with a CAR of </w:t>
      </w:r>
      <w:r w:rsidR="009A5F52" w:rsidRPr="00A46DC3">
        <w:rPr>
          <w:rFonts w:ascii="Times New Roman" w:hAnsi="Times New Roman" w:cs="Times New Roman"/>
          <w:b/>
          <w:bCs/>
          <w:sz w:val="24"/>
          <w:szCs w:val="24"/>
        </w:rPr>
        <w:t>14.28%</w:t>
      </w:r>
      <w:r w:rsidR="009A5F52" w:rsidRPr="00A46DC3">
        <w:rPr>
          <w:rFonts w:ascii="Times New Roman" w:hAnsi="Times New Roman" w:cs="Times New Roman"/>
          <w:sz w:val="24"/>
          <w:szCs w:val="24"/>
        </w:rPr>
        <w:t>, SBI's capital strength is robust, providing a good buffer against risk.</w:t>
      </w:r>
      <w:r w:rsidR="008D26AA" w:rsidRPr="00A46DC3">
        <w:rPr>
          <w:rFonts w:ascii="Times New Roman" w:hAnsi="Times New Roman" w:cs="Times New Roman"/>
          <w:sz w:val="24"/>
          <w:szCs w:val="24"/>
        </w:rPr>
        <w:t xml:space="preserve"> While the CAR has generally been increasing, there is a </w:t>
      </w:r>
      <w:r w:rsidR="008D26AA" w:rsidRPr="00A46DC3">
        <w:rPr>
          <w:rFonts w:ascii="Times New Roman" w:hAnsi="Times New Roman" w:cs="Times New Roman"/>
          <w:b/>
          <w:bCs/>
          <w:sz w:val="24"/>
          <w:szCs w:val="24"/>
        </w:rPr>
        <w:t>slight dip</w:t>
      </w:r>
      <w:r w:rsidR="008D26AA" w:rsidRPr="00A46DC3">
        <w:rPr>
          <w:rFonts w:ascii="Times New Roman" w:hAnsi="Times New Roman" w:cs="Times New Roman"/>
          <w:sz w:val="24"/>
          <w:szCs w:val="24"/>
        </w:rPr>
        <w:t xml:space="preserve"> in </w:t>
      </w:r>
      <w:r w:rsidR="008D26AA" w:rsidRPr="00A46DC3">
        <w:rPr>
          <w:rFonts w:ascii="Times New Roman" w:hAnsi="Times New Roman" w:cs="Times New Roman"/>
          <w:b/>
          <w:bCs/>
          <w:sz w:val="24"/>
          <w:szCs w:val="24"/>
        </w:rPr>
        <w:t>2024</w:t>
      </w:r>
      <w:r w:rsidR="008D26AA" w:rsidRPr="00A46DC3">
        <w:rPr>
          <w:rFonts w:ascii="Times New Roman" w:hAnsi="Times New Roman" w:cs="Times New Roman"/>
          <w:sz w:val="24"/>
          <w:szCs w:val="24"/>
        </w:rPr>
        <w:t xml:space="preserve">, with a reduction to </w:t>
      </w:r>
      <w:r w:rsidR="008D26AA" w:rsidRPr="00A46DC3">
        <w:rPr>
          <w:rFonts w:ascii="Times New Roman" w:hAnsi="Times New Roman" w:cs="Times New Roman"/>
          <w:b/>
          <w:bCs/>
          <w:sz w:val="24"/>
          <w:szCs w:val="24"/>
        </w:rPr>
        <w:t>14.28%</w:t>
      </w:r>
      <w:r w:rsidR="008D26AA" w:rsidRPr="00A46DC3">
        <w:rPr>
          <w:rFonts w:ascii="Times New Roman" w:hAnsi="Times New Roman" w:cs="Times New Roman"/>
          <w:sz w:val="24"/>
          <w:szCs w:val="24"/>
        </w:rPr>
        <w:t xml:space="preserve"> from </w:t>
      </w:r>
      <w:r w:rsidR="008D26AA" w:rsidRPr="00A46DC3">
        <w:rPr>
          <w:rFonts w:ascii="Times New Roman" w:hAnsi="Times New Roman" w:cs="Times New Roman"/>
          <w:b/>
          <w:bCs/>
          <w:sz w:val="24"/>
          <w:szCs w:val="24"/>
        </w:rPr>
        <w:t>14.68% in 2023</w:t>
      </w:r>
      <w:r w:rsidR="008D26AA" w:rsidRPr="00A46DC3">
        <w:rPr>
          <w:rFonts w:ascii="Times New Roman" w:hAnsi="Times New Roman" w:cs="Times New Roman"/>
          <w:sz w:val="24"/>
          <w:szCs w:val="24"/>
        </w:rPr>
        <w:t xml:space="preserve">. While this reduction is minor, it could indicate an increase in </w:t>
      </w:r>
      <w:r w:rsidR="008D26AA" w:rsidRPr="00A46DC3">
        <w:rPr>
          <w:rFonts w:ascii="Times New Roman" w:hAnsi="Times New Roman" w:cs="Times New Roman"/>
          <w:b/>
          <w:bCs/>
          <w:sz w:val="24"/>
          <w:szCs w:val="24"/>
        </w:rPr>
        <w:t>risk-weighted assets</w:t>
      </w:r>
      <w:r w:rsidR="008D26AA" w:rsidRPr="00A46DC3">
        <w:rPr>
          <w:rFonts w:ascii="Times New Roman" w:hAnsi="Times New Roman" w:cs="Times New Roman"/>
          <w:sz w:val="24"/>
          <w:szCs w:val="24"/>
        </w:rPr>
        <w:t xml:space="preserve"> or a change in the bank's capital structure. However, the decrease is not significant enough to raise any immediate concerns, as the CAR remains high and above the regulatory minimum.</w:t>
      </w:r>
    </w:p>
    <w:p w14:paraId="3BB06364" w14:textId="616D8580" w:rsidR="00AB4210" w:rsidRPr="00A46DC3" w:rsidRDefault="00AB4210" w:rsidP="00AB4210">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8</w:t>
      </w:r>
      <w:r w:rsidRPr="00A46DC3">
        <w:rPr>
          <w:rFonts w:ascii="Times New Roman" w:hAnsi="Times New Roman" w:cs="Times New Roman"/>
          <w:b/>
          <w:bCs/>
          <w:sz w:val="24"/>
          <w:szCs w:val="24"/>
        </w:rPr>
        <w:t xml:space="preserve"> Movement of Gross NPA and Net NPA:</w:t>
      </w:r>
    </w:p>
    <w:p w14:paraId="78E1BC74" w14:textId="4D3203BB" w:rsidR="00AB4210" w:rsidRPr="00A46DC3" w:rsidRDefault="00AB4210" w:rsidP="00AB4210">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8</w:t>
      </w:r>
      <w:r w:rsidRPr="00A46DC3">
        <w:rPr>
          <w:rFonts w:ascii="Times New Roman" w:hAnsi="Times New Roman" w:cs="Times New Roman"/>
          <w:b/>
          <w:bCs/>
          <w:sz w:val="24"/>
          <w:szCs w:val="24"/>
        </w:rPr>
        <w:t>: Showing the comparison of Gross NPA and Net NPA of State Bank of India (Rs. in cr)</w:t>
      </w:r>
    </w:p>
    <w:tbl>
      <w:tblPr>
        <w:tblStyle w:val="TableGrid"/>
        <w:tblW w:w="0" w:type="auto"/>
        <w:tblLook w:val="04A0" w:firstRow="1" w:lastRow="0" w:firstColumn="1" w:lastColumn="0" w:noHBand="0" w:noVBand="1"/>
      </w:tblPr>
      <w:tblGrid>
        <w:gridCol w:w="2991"/>
        <w:gridCol w:w="3015"/>
        <w:gridCol w:w="3010"/>
      </w:tblGrid>
      <w:tr w:rsidR="00AB4210" w:rsidRPr="00A46DC3" w14:paraId="1543EA69" w14:textId="77777777" w:rsidTr="007F1B27">
        <w:tc>
          <w:tcPr>
            <w:tcW w:w="2991" w:type="dxa"/>
          </w:tcPr>
          <w:p w14:paraId="0707B923"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YEAR</w:t>
            </w:r>
          </w:p>
        </w:tc>
        <w:tc>
          <w:tcPr>
            <w:tcW w:w="3015" w:type="dxa"/>
          </w:tcPr>
          <w:p w14:paraId="4E562518"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Gross NPA</w:t>
            </w:r>
          </w:p>
        </w:tc>
        <w:tc>
          <w:tcPr>
            <w:tcW w:w="3010" w:type="dxa"/>
          </w:tcPr>
          <w:p w14:paraId="59D9D818"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Net NPA</w:t>
            </w:r>
          </w:p>
        </w:tc>
      </w:tr>
      <w:tr w:rsidR="00AB4210" w:rsidRPr="00A46DC3" w14:paraId="4444A7B5" w14:textId="77777777" w:rsidTr="007F1B27">
        <w:tc>
          <w:tcPr>
            <w:tcW w:w="2991" w:type="dxa"/>
          </w:tcPr>
          <w:p w14:paraId="698481E1"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2019</w:t>
            </w:r>
          </w:p>
        </w:tc>
        <w:tc>
          <w:tcPr>
            <w:tcW w:w="3015" w:type="dxa"/>
          </w:tcPr>
          <w:p w14:paraId="1B77765F"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172,750.00</w:t>
            </w:r>
          </w:p>
        </w:tc>
        <w:tc>
          <w:tcPr>
            <w:tcW w:w="3010" w:type="dxa"/>
          </w:tcPr>
          <w:p w14:paraId="5104E7FD"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65,895.00</w:t>
            </w:r>
          </w:p>
        </w:tc>
      </w:tr>
      <w:tr w:rsidR="00AB4210" w:rsidRPr="00A46DC3" w14:paraId="47A724C3" w14:textId="77777777" w:rsidTr="007F1B27">
        <w:tc>
          <w:tcPr>
            <w:tcW w:w="2991" w:type="dxa"/>
          </w:tcPr>
          <w:p w14:paraId="18E29995"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2020</w:t>
            </w:r>
          </w:p>
        </w:tc>
        <w:tc>
          <w:tcPr>
            <w:tcW w:w="3015" w:type="dxa"/>
          </w:tcPr>
          <w:p w14:paraId="482A9FE7"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149,092.00</w:t>
            </w:r>
          </w:p>
        </w:tc>
        <w:tc>
          <w:tcPr>
            <w:tcW w:w="3010" w:type="dxa"/>
          </w:tcPr>
          <w:p w14:paraId="2645324B"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51,871.00</w:t>
            </w:r>
          </w:p>
        </w:tc>
      </w:tr>
      <w:tr w:rsidR="00AB4210" w:rsidRPr="00A46DC3" w14:paraId="5F552A0C" w14:textId="77777777" w:rsidTr="007F1B27">
        <w:tc>
          <w:tcPr>
            <w:tcW w:w="2991" w:type="dxa"/>
          </w:tcPr>
          <w:p w14:paraId="723A2B8C"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2021</w:t>
            </w:r>
          </w:p>
        </w:tc>
        <w:tc>
          <w:tcPr>
            <w:tcW w:w="3015" w:type="dxa"/>
          </w:tcPr>
          <w:p w14:paraId="3CA58A7A"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126,389.00</w:t>
            </w:r>
          </w:p>
        </w:tc>
        <w:tc>
          <w:tcPr>
            <w:tcW w:w="3010" w:type="dxa"/>
          </w:tcPr>
          <w:p w14:paraId="35BE4476"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36,810.00</w:t>
            </w:r>
          </w:p>
        </w:tc>
      </w:tr>
      <w:tr w:rsidR="00AB4210" w:rsidRPr="00A46DC3" w14:paraId="37063697" w14:textId="77777777" w:rsidTr="007F1B27">
        <w:tc>
          <w:tcPr>
            <w:tcW w:w="2991" w:type="dxa"/>
          </w:tcPr>
          <w:p w14:paraId="613AFDA0"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2022</w:t>
            </w:r>
          </w:p>
        </w:tc>
        <w:tc>
          <w:tcPr>
            <w:tcW w:w="3015" w:type="dxa"/>
          </w:tcPr>
          <w:p w14:paraId="2F20D937"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112,023.00</w:t>
            </w:r>
          </w:p>
        </w:tc>
        <w:tc>
          <w:tcPr>
            <w:tcW w:w="3010" w:type="dxa"/>
          </w:tcPr>
          <w:p w14:paraId="1A39D0A6"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27,965.00</w:t>
            </w:r>
          </w:p>
        </w:tc>
      </w:tr>
      <w:tr w:rsidR="00AB4210" w:rsidRPr="00A46DC3" w14:paraId="21702699" w14:textId="77777777" w:rsidTr="007F1B27">
        <w:tc>
          <w:tcPr>
            <w:tcW w:w="2991" w:type="dxa"/>
          </w:tcPr>
          <w:p w14:paraId="046900DF"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2023</w:t>
            </w:r>
          </w:p>
        </w:tc>
        <w:tc>
          <w:tcPr>
            <w:tcW w:w="3015" w:type="dxa"/>
          </w:tcPr>
          <w:p w14:paraId="4B531F76"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90,928.00</w:t>
            </w:r>
          </w:p>
        </w:tc>
        <w:tc>
          <w:tcPr>
            <w:tcW w:w="3010" w:type="dxa"/>
          </w:tcPr>
          <w:p w14:paraId="4EEAD166"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21,467.00</w:t>
            </w:r>
          </w:p>
        </w:tc>
      </w:tr>
      <w:tr w:rsidR="00AB4210" w:rsidRPr="00A46DC3" w14:paraId="42B55476" w14:textId="77777777" w:rsidTr="007F1B27">
        <w:tc>
          <w:tcPr>
            <w:tcW w:w="2991" w:type="dxa"/>
          </w:tcPr>
          <w:p w14:paraId="66858EAD" w14:textId="77777777" w:rsidR="00AB4210" w:rsidRPr="00A46DC3" w:rsidRDefault="00AB4210"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2024</w:t>
            </w:r>
          </w:p>
        </w:tc>
        <w:tc>
          <w:tcPr>
            <w:tcW w:w="3015" w:type="dxa"/>
          </w:tcPr>
          <w:p w14:paraId="2CBF6D8C"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84,276.00</w:t>
            </w:r>
          </w:p>
        </w:tc>
        <w:tc>
          <w:tcPr>
            <w:tcW w:w="3010" w:type="dxa"/>
          </w:tcPr>
          <w:p w14:paraId="46DA6083" w14:textId="77777777" w:rsidR="00AB4210" w:rsidRPr="00A46DC3" w:rsidRDefault="00AB4210"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21,051.00</w:t>
            </w:r>
          </w:p>
        </w:tc>
      </w:tr>
    </w:tbl>
    <w:p w14:paraId="7D2286B7" w14:textId="77777777" w:rsidR="007F1B27" w:rsidRPr="00A46DC3" w:rsidRDefault="007F1B27" w:rsidP="007F1B27">
      <w:pPr>
        <w:tabs>
          <w:tab w:val="left" w:pos="5304"/>
        </w:tabs>
        <w:rPr>
          <w:rFonts w:ascii="Times New Roman" w:hAnsi="Times New Roman" w:cs="Times New Roman"/>
          <w:b/>
          <w:bCs/>
          <w:sz w:val="24"/>
          <w:szCs w:val="24"/>
        </w:rPr>
      </w:pPr>
    </w:p>
    <w:p w14:paraId="2B616FD2" w14:textId="052A6837" w:rsidR="007F1B27" w:rsidRPr="00A46DC3" w:rsidRDefault="007F1B27" w:rsidP="007F1B2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Figure 4.8: Showing the comparison of Gross NPA and Net NPA of State Bank of India </w:t>
      </w:r>
    </w:p>
    <w:p w14:paraId="30E9ED76" w14:textId="0325CE5F" w:rsidR="00590BEF" w:rsidRPr="00A46DC3" w:rsidRDefault="0093347B" w:rsidP="00AB4210">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5C6AD60F" wp14:editId="468BB858">
            <wp:extent cx="5021451" cy="2743200"/>
            <wp:effectExtent l="0" t="0" r="8255" b="0"/>
            <wp:docPr id="1770132833" name="Chart 1">
              <a:extLst xmlns:a="http://schemas.openxmlformats.org/drawingml/2006/main">
                <a:ext uri="{FF2B5EF4-FFF2-40B4-BE49-F238E27FC236}">
                  <a16:creationId xmlns:a16="http://schemas.microsoft.com/office/drawing/2014/main" id="{E57E1ABE-1BE8-F1AD-3C9F-0E8A869C1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5D811285" w14:textId="5233D3D4" w:rsidR="00AB4210" w:rsidRPr="00A46DC3" w:rsidRDefault="002820D4" w:rsidP="004F49C3">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has </w:t>
      </w:r>
      <w:r w:rsidRPr="00A46DC3">
        <w:rPr>
          <w:rFonts w:ascii="Times New Roman" w:hAnsi="Times New Roman" w:cs="Times New Roman"/>
          <w:b/>
          <w:bCs/>
          <w:sz w:val="24"/>
          <w:szCs w:val="24"/>
        </w:rPr>
        <w:t>decreased steadily</w:t>
      </w:r>
      <w:r w:rsidRPr="00A46DC3">
        <w:rPr>
          <w:rFonts w:ascii="Times New Roman" w:hAnsi="Times New Roman" w:cs="Times New Roman"/>
          <w:sz w:val="24"/>
          <w:szCs w:val="24"/>
        </w:rPr>
        <w:t xml:space="preserve"> from </w:t>
      </w:r>
      <w:r w:rsidRPr="00A46DC3">
        <w:rPr>
          <w:rFonts w:ascii="Times New Roman" w:hAnsi="Times New Roman" w:cs="Times New Roman"/>
          <w:b/>
          <w:bCs/>
          <w:sz w:val="24"/>
          <w:szCs w:val="24"/>
        </w:rPr>
        <w:t>₹1,72,750 crore in 2019</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₹84,276 crore in 2024</w:t>
      </w:r>
      <w:r w:rsidRPr="00A46DC3">
        <w:rPr>
          <w:rFonts w:ascii="Times New Roman" w:hAnsi="Times New Roman" w:cs="Times New Roman"/>
          <w:sz w:val="24"/>
          <w:szCs w:val="24"/>
        </w:rPr>
        <w:t>. This indicates that SBI has been successful in reducing the total amount of non-performing loans, which reflects improvement in the overall quality of its loan portfolio.</w:t>
      </w:r>
      <w:r w:rsidR="004F49C3" w:rsidRPr="00A46DC3">
        <w:rPr>
          <w:rFonts w:ascii="Times New Roman" w:hAnsi="Times New Roman" w:cs="Times New Roman"/>
          <w:sz w:val="24"/>
          <w:szCs w:val="24"/>
        </w:rPr>
        <w:t xml:space="preserve"> </w:t>
      </w:r>
      <w:r w:rsidRPr="00A46DC3">
        <w:rPr>
          <w:rFonts w:ascii="Times New Roman" w:hAnsi="Times New Roman" w:cs="Times New Roman"/>
          <w:sz w:val="24"/>
          <w:szCs w:val="24"/>
        </w:rPr>
        <w:t xml:space="preserve">The most notable drop occurred between </w:t>
      </w:r>
      <w:r w:rsidRPr="00A46DC3">
        <w:rPr>
          <w:rFonts w:ascii="Times New Roman" w:hAnsi="Times New Roman" w:cs="Times New Roman"/>
          <w:b/>
          <w:bCs/>
          <w:sz w:val="24"/>
          <w:szCs w:val="24"/>
        </w:rPr>
        <w:t>2019 and 2020</w:t>
      </w:r>
      <w:r w:rsidRPr="00A46DC3">
        <w:rPr>
          <w:rFonts w:ascii="Times New Roman" w:hAnsi="Times New Roman" w:cs="Times New Roman"/>
          <w:sz w:val="24"/>
          <w:szCs w:val="24"/>
        </w:rPr>
        <w:t>, which could be attributed to active efforts by the bank to recover bad loans, write off certain non-performing assets, or improve loan monitoring and collection processes.</w:t>
      </w:r>
      <w:r w:rsidR="0042160C" w:rsidRPr="00A46DC3">
        <w:rPr>
          <w:rFonts w:ascii="Times New Roman" w:hAnsi="Times New Roman" w:cs="Times New Roman"/>
          <w:sz w:val="24"/>
          <w:szCs w:val="24"/>
        </w:rPr>
        <w:t xml:space="preserve"> </w:t>
      </w:r>
      <w:r w:rsidR="0042160C" w:rsidRPr="00A46DC3">
        <w:rPr>
          <w:rFonts w:ascii="Times New Roman" w:hAnsi="Times New Roman" w:cs="Times New Roman"/>
          <w:b/>
          <w:bCs/>
          <w:sz w:val="24"/>
          <w:szCs w:val="24"/>
        </w:rPr>
        <w:t>Net NPA</w:t>
      </w:r>
      <w:r w:rsidR="0042160C" w:rsidRPr="00A46DC3">
        <w:rPr>
          <w:rFonts w:ascii="Times New Roman" w:hAnsi="Times New Roman" w:cs="Times New Roman"/>
          <w:sz w:val="24"/>
          <w:szCs w:val="24"/>
        </w:rPr>
        <w:t xml:space="preserve"> has also consistently decreased from </w:t>
      </w:r>
      <w:r w:rsidR="0042160C" w:rsidRPr="00A46DC3">
        <w:rPr>
          <w:rFonts w:ascii="Times New Roman" w:hAnsi="Times New Roman" w:cs="Times New Roman"/>
          <w:b/>
          <w:bCs/>
          <w:sz w:val="24"/>
          <w:szCs w:val="24"/>
        </w:rPr>
        <w:t>₹65,895 crore in 2019</w:t>
      </w:r>
      <w:r w:rsidR="0042160C" w:rsidRPr="00A46DC3">
        <w:rPr>
          <w:rFonts w:ascii="Times New Roman" w:hAnsi="Times New Roman" w:cs="Times New Roman"/>
          <w:sz w:val="24"/>
          <w:szCs w:val="24"/>
        </w:rPr>
        <w:t xml:space="preserve"> to </w:t>
      </w:r>
      <w:r w:rsidR="0042160C" w:rsidRPr="00A46DC3">
        <w:rPr>
          <w:rFonts w:ascii="Times New Roman" w:hAnsi="Times New Roman" w:cs="Times New Roman"/>
          <w:b/>
          <w:bCs/>
          <w:sz w:val="24"/>
          <w:szCs w:val="24"/>
        </w:rPr>
        <w:t>₹21,051 crore in 2024</w:t>
      </w:r>
      <w:r w:rsidR="0042160C" w:rsidRPr="00A46DC3">
        <w:rPr>
          <w:rFonts w:ascii="Times New Roman" w:hAnsi="Times New Roman" w:cs="Times New Roman"/>
          <w:sz w:val="24"/>
          <w:szCs w:val="24"/>
        </w:rPr>
        <w:t xml:space="preserve">, showing a reduction in bad loans after provisions have been taken into account. The decrease in </w:t>
      </w:r>
      <w:r w:rsidR="0042160C" w:rsidRPr="00A46DC3">
        <w:rPr>
          <w:rFonts w:ascii="Times New Roman" w:hAnsi="Times New Roman" w:cs="Times New Roman"/>
          <w:b/>
          <w:bCs/>
          <w:sz w:val="24"/>
          <w:szCs w:val="24"/>
        </w:rPr>
        <w:t>Net NPA</w:t>
      </w:r>
      <w:r w:rsidR="0042160C" w:rsidRPr="00A46DC3">
        <w:rPr>
          <w:rFonts w:ascii="Times New Roman" w:hAnsi="Times New Roman" w:cs="Times New Roman"/>
          <w:sz w:val="24"/>
          <w:szCs w:val="24"/>
        </w:rPr>
        <w:t xml:space="preserve"> suggests that the bank is </w:t>
      </w:r>
      <w:r w:rsidR="0042160C" w:rsidRPr="00A46DC3">
        <w:rPr>
          <w:rFonts w:ascii="Times New Roman" w:hAnsi="Times New Roman" w:cs="Times New Roman"/>
          <w:b/>
          <w:bCs/>
          <w:sz w:val="24"/>
          <w:szCs w:val="24"/>
        </w:rPr>
        <w:t>making good progress in managing its non-performing loans</w:t>
      </w:r>
      <w:r w:rsidR="0042160C" w:rsidRPr="00A46DC3">
        <w:rPr>
          <w:rFonts w:ascii="Times New Roman" w:hAnsi="Times New Roman" w:cs="Times New Roman"/>
          <w:sz w:val="24"/>
          <w:szCs w:val="24"/>
        </w:rPr>
        <w:t xml:space="preserve">, either by writing off or recovering them, as well as by maintaining adequate provisions for loan losses. The steady reduction in both </w:t>
      </w:r>
      <w:r w:rsidR="0042160C" w:rsidRPr="00A46DC3">
        <w:rPr>
          <w:rFonts w:ascii="Times New Roman" w:hAnsi="Times New Roman" w:cs="Times New Roman"/>
          <w:b/>
          <w:bCs/>
          <w:sz w:val="24"/>
          <w:szCs w:val="24"/>
        </w:rPr>
        <w:t>Gross NPA</w:t>
      </w:r>
      <w:r w:rsidR="0042160C" w:rsidRPr="00A46DC3">
        <w:rPr>
          <w:rFonts w:ascii="Times New Roman" w:hAnsi="Times New Roman" w:cs="Times New Roman"/>
          <w:sz w:val="24"/>
          <w:szCs w:val="24"/>
        </w:rPr>
        <w:t xml:space="preserve"> and </w:t>
      </w:r>
      <w:r w:rsidR="0042160C" w:rsidRPr="00A46DC3">
        <w:rPr>
          <w:rFonts w:ascii="Times New Roman" w:hAnsi="Times New Roman" w:cs="Times New Roman"/>
          <w:b/>
          <w:bCs/>
          <w:sz w:val="24"/>
          <w:szCs w:val="24"/>
        </w:rPr>
        <w:t>Net NPA</w:t>
      </w:r>
      <w:r w:rsidR="0042160C" w:rsidRPr="00A46DC3">
        <w:rPr>
          <w:rFonts w:ascii="Times New Roman" w:hAnsi="Times New Roman" w:cs="Times New Roman"/>
          <w:sz w:val="24"/>
          <w:szCs w:val="24"/>
        </w:rPr>
        <w:t xml:space="preserve"> indicates an </w:t>
      </w:r>
      <w:r w:rsidR="0042160C" w:rsidRPr="00A46DC3">
        <w:rPr>
          <w:rFonts w:ascii="Times New Roman" w:hAnsi="Times New Roman" w:cs="Times New Roman"/>
          <w:b/>
          <w:bCs/>
          <w:sz w:val="24"/>
          <w:szCs w:val="24"/>
        </w:rPr>
        <w:t>improvement in asset quality</w:t>
      </w:r>
      <w:r w:rsidR="0042160C" w:rsidRPr="00A46DC3">
        <w:rPr>
          <w:rFonts w:ascii="Times New Roman" w:hAnsi="Times New Roman" w:cs="Times New Roman"/>
          <w:sz w:val="24"/>
          <w:szCs w:val="24"/>
        </w:rPr>
        <w:t xml:space="preserve">. This is a strong sign of effective </w:t>
      </w:r>
      <w:r w:rsidR="0042160C" w:rsidRPr="00A46DC3">
        <w:rPr>
          <w:rFonts w:ascii="Times New Roman" w:hAnsi="Times New Roman" w:cs="Times New Roman"/>
          <w:b/>
          <w:bCs/>
          <w:sz w:val="24"/>
          <w:szCs w:val="24"/>
        </w:rPr>
        <w:t>risk management</w:t>
      </w:r>
      <w:r w:rsidR="0042160C" w:rsidRPr="00A46DC3">
        <w:rPr>
          <w:rFonts w:ascii="Times New Roman" w:hAnsi="Times New Roman" w:cs="Times New Roman"/>
          <w:sz w:val="24"/>
          <w:szCs w:val="24"/>
        </w:rPr>
        <w:t xml:space="preserve"> and efforts to recover or provision against bad loans. The bank's </w:t>
      </w:r>
      <w:r w:rsidR="0042160C" w:rsidRPr="00A46DC3">
        <w:rPr>
          <w:rFonts w:ascii="Times New Roman" w:hAnsi="Times New Roman" w:cs="Times New Roman"/>
          <w:b/>
          <w:bCs/>
          <w:sz w:val="24"/>
          <w:szCs w:val="24"/>
        </w:rPr>
        <w:t>loan book</w:t>
      </w:r>
      <w:r w:rsidR="0042160C" w:rsidRPr="00A46DC3">
        <w:rPr>
          <w:rFonts w:ascii="Times New Roman" w:hAnsi="Times New Roman" w:cs="Times New Roman"/>
          <w:sz w:val="24"/>
          <w:szCs w:val="24"/>
        </w:rPr>
        <w:t xml:space="preserve"> is becoming healthier, and the bank is in a better position to manage its credit risk.</w:t>
      </w:r>
    </w:p>
    <w:p w14:paraId="73EB1CCB" w14:textId="0506AB64" w:rsidR="007E4C7B" w:rsidRPr="00A46DC3" w:rsidRDefault="00373BF9" w:rsidP="007E4C7B">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HDFC</w:t>
      </w:r>
      <w:r w:rsidR="001A0696" w:rsidRPr="00A46DC3">
        <w:rPr>
          <w:rFonts w:ascii="Times New Roman" w:hAnsi="Times New Roman" w:cs="Times New Roman"/>
          <w:b/>
          <w:bCs/>
          <w:sz w:val="24"/>
          <w:szCs w:val="24"/>
        </w:rPr>
        <w:t xml:space="preserve"> BANK</w:t>
      </w:r>
    </w:p>
    <w:p w14:paraId="63D6F281" w14:textId="52DD55F8" w:rsidR="00924A1A" w:rsidRPr="00A46DC3" w:rsidRDefault="00924A1A" w:rsidP="00924A1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9</w:t>
      </w:r>
      <w:r w:rsidRPr="00A46DC3">
        <w:rPr>
          <w:rFonts w:ascii="Times New Roman" w:hAnsi="Times New Roman" w:cs="Times New Roman"/>
          <w:b/>
          <w:bCs/>
          <w:sz w:val="24"/>
          <w:szCs w:val="24"/>
        </w:rPr>
        <w:t xml:space="preserve"> Net NPA Ratio of HDFC:</w:t>
      </w:r>
    </w:p>
    <w:p w14:paraId="05FB25DE" w14:textId="56F7F19B" w:rsidR="001A0696" w:rsidRPr="00A46DC3" w:rsidRDefault="00924A1A" w:rsidP="007F1B2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9</w:t>
      </w:r>
      <w:r w:rsidRPr="00A46DC3">
        <w:rPr>
          <w:rFonts w:ascii="Times New Roman" w:hAnsi="Times New Roman" w:cs="Times New Roman"/>
          <w:b/>
          <w:bCs/>
          <w:sz w:val="24"/>
          <w:szCs w:val="24"/>
        </w:rPr>
        <w:t>: Showing the Gross NPA Ratio of HDFC (Rs. in cr)</w:t>
      </w:r>
    </w:p>
    <w:tbl>
      <w:tblPr>
        <w:tblW w:w="5480" w:type="dxa"/>
        <w:tblInd w:w="113" w:type="dxa"/>
        <w:tblLook w:val="04A0" w:firstRow="1" w:lastRow="0" w:firstColumn="1" w:lastColumn="0" w:noHBand="0" w:noVBand="1"/>
      </w:tblPr>
      <w:tblGrid>
        <w:gridCol w:w="870"/>
        <w:gridCol w:w="1056"/>
        <w:gridCol w:w="1620"/>
        <w:gridCol w:w="1940"/>
      </w:tblGrid>
      <w:tr w:rsidR="00924A1A" w:rsidRPr="00A46DC3" w14:paraId="00483393" w14:textId="77777777" w:rsidTr="007F1B27">
        <w:trPr>
          <w:trHeight w:val="87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72CFF"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YEAR</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105E391"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Gross NPA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F7FC9B"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Total Advances</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9A2A95D"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GPA Ratio (%)</w:t>
            </w:r>
          </w:p>
        </w:tc>
      </w:tr>
      <w:tr w:rsidR="00924A1A" w:rsidRPr="00A46DC3" w14:paraId="409FB3DA"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CEF3942"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1067" w:type="dxa"/>
            <w:tcBorders>
              <w:top w:val="nil"/>
              <w:left w:val="nil"/>
              <w:bottom w:val="single" w:sz="4" w:space="0" w:color="auto"/>
              <w:right w:val="single" w:sz="4" w:space="0" w:color="auto"/>
            </w:tcBorders>
            <w:shd w:val="clear" w:color="auto" w:fill="auto"/>
            <w:vAlign w:val="center"/>
            <w:hideMark/>
          </w:tcPr>
          <w:p w14:paraId="30749549"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8,091.74</w:t>
            </w:r>
          </w:p>
        </w:tc>
        <w:tc>
          <w:tcPr>
            <w:tcW w:w="1620" w:type="dxa"/>
            <w:tcBorders>
              <w:top w:val="nil"/>
              <w:left w:val="nil"/>
              <w:bottom w:val="single" w:sz="4" w:space="0" w:color="auto"/>
              <w:right w:val="single" w:sz="4" w:space="0" w:color="auto"/>
            </w:tcBorders>
            <w:shd w:val="clear" w:color="auto" w:fill="auto"/>
            <w:noWrap/>
            <w:vAlign w:val="bottom"/>
            <w:hideMark/>
          </w:tcPr>
          <w:p w14:paraId="038FE093"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819000</w:t>
            </w:r>
          </w:p>
        </w:tc>
        <w:tc>
          <w:tcPr>
            <w:tcW w:w="1940" w:type="dxa"/>
            <w:tcBorders>
              <w:top w:val="nil"/>
              <w:left w:val="nil"/>
              <w:bottom w:val="single" w:sz="4" w:space="0" w:color="auto"/>
              <w:right w:val="single" w:sz="4" w:space="0" w:color="auto"/>
            </w:tcBorders>
            <w:shd w:val="clear" w:color="auto" w:fill="auto"/>
            <w:noWrap/>
            <w:vAlign w:val="bottom"/>
            <w:hideMark/>
          </w:tcPr>
          <w:p w14:paraId="41A70CB8"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0.99</w:t>
            </w:r>
          </w:p>
        </w:tc>
      </w:tr>
      <w:tr w:rsidR="00924A1A" w:rsidRPr="00A46DC3" w14:paraId="3F945AD8"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9C39733"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1067" w:type="dxa"/>
            <w:tcBorders>
              <w:top w:val="nil"/>
              <w:left w:val="nil"/>
              <w:bottom w:val="single" w:sz="4" w:space="0" w:color="auto"/>
              <w:right w:val="single" w:sz="4" w:space="0" w:color="auto"/>
            </w:tcBorders>
            <w:shd w:val="clear" w:color="auto" w:fill="auto"/>
            <w:vAlign w:val="center"/>
            <w:hideMark/>
          </w:tcPr>
          <w:p w14:paraId="6F8C53AB"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7,500.00</w:t>
            </w:r>
          </w:p>
        </w:tc>
        <w:tc>
          <w:tcPr>
            <w:tcW w:w="1620" w:type="dxa"/>
            <w:tcBorders>
              <w:top w:val="nil"/>
              <w:left w:val="nil"/>
              <w:bottom w:val="single" w:sz="4" w:space="0" w:color="auto"/>
              <w:right w:val="single" w:sz="4" w:space="0" w:color="auto"/>
            </w:tcBorders>
            <w:shd w:val="clear" w:color="auto" w:fill="auto"/>
            <w:noWrap/>
            <w:vAlign w:val="bottom"/>
            <w:hideMark/>
          </w:tcPr>
          <w:p w14:paraId="7572C6A5"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937000</w:t>
            </w:r>
          </w:p>
        </w:tc>
        <w:tc>
          <w:tcPr>
            <w:tcW w:w="1940" w:type="dxa"/>
            <w:tcBorders>
              <w:top w:val="nil"/>
              <w:left w:val="nil"/>
              <w:bottom w:val="single" w:sz="4" w:space="0" w:color="auto"/>
              <w:right w:val="single" w:sz="4" w:space="0" w:color="auto"/>
            </w:tcBorders>
            <w:shd w:val="clear" w:color="auto" w:fill="auto"/>
            <w:noWrap/>
            <w:vAlign w:val="bottom"/>
            <w:hideMark/>
          </w:tcPr>
          <w:p w14:paraId="4F3BAE23"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0.80</w:t>
            </w:r>
          </w:p>
        </w:tc>
      </w:tr>
      <w:tr w:rsidR="00924A1A" w:rsidRPr="00A46DC3" w14:paraId="775FD332"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96DDA0D"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1067" w:type="dxa"/>
            <w:tcBorders>
              <w:top w:val="nil"/>
              <w:left w:val="nil"/>
              <w:bottom w:val="single" w:sz="4" w:space="0" w:color="auto"/>
              <w:right w:val="single" w:sz="4" w:space="0" w:color="auto"/>
            </w:tcBorders>
            <w:shd w:val="clear" w:color="auto" w:fill="auto"/>
            <w:vAlign w:val="center"/>
            <w:hideMark/>
          </w:tcPr>
          <w:p w14:paraId="4652E66F"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6,800.00</w:t>
            </w:r>
          </w:p>
        </w:tc>
        <w:tc>
          <w:tcPr>
            <w:tcW w:w="1620" w:type="dxa"/>
            <w:tcBorders>
              <w:top w:val="nil"/>
              <w:left w:val="nil"/>
              <w:bottom w:val="single" w:sz="4" w:space="0" w:color="auto"/>
              <w:right w:val="single" w:sz="4" w:space="0" w:color="auto"/>
            </w:tcBorders>
            <w:shd w:val="clear" w:color="auto" w:fill="auto"/>
            <w:noWrap/>
            <w:vAlign w:val="bottom"/>
            <w:hideMark/>
          </w:tcPr>
          <w:p w14:paraId="755F15A0"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1133000</w:t>
            </w:r>
          </w:p>
        </w:tc>
        <w:tc>
          <w:tcPr>
            <w:tcW w:w="1940" w:type="dxa"/>
            <w:tcBorders>
              <w:top w:val="nil"/>
              <w:left w:val="nil"/>
              <w:bottom w:val="single" w:sz="4" w:space="0" w:color="auto"/>
              <w:right w:val="single" w:sz="4" w:space="0" w:color="auto"/>
            </w:tcBorders>
            <w:shd w:val="clear" w:color="auto" w:fill="auto"/>
            <w:noWrap/>
            <w:vAlign w:val="bottom"/>
            <w:hideMark/>
          </w:tcPr>
          <w:p w14:paraId="5BCD8B24"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0.60</w:t>
            </w:r>
          </w:p>
        </w:tc>
      </w:tr>
      <w:tr w:rsidR="00924A1A" w:rsidRPr="00A46DC3" w14:paraId="493C3566"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2360D51"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1067" w:type="dxa"/>
            <w:tcBorders>
              <w:top w:val="nil"/>
              <w:left w:val="nil"/>
              <w:bottom w:val="single" w:sz="4" w:space="0" w:color="auto"/>
              <w:right w:val="single" w:sz="4" w:space="0" w:color="auto"/>
            </w:tcBorders>
            <w:shd w:val="clear" w:color="auto" w:fill="auto"/>
            <w:vAlign w:val="center"/>
            <w:hideMark/>
          </w:tcPr>
          <w:p w14:paraId="5EA9A27B"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6,200.00</w:t>
            </w:r>
          </w:p>
        </w:tc>
        <w:tc>
          <w:tcPr>
            <w:tcW w:w="1620" w:type="dxa"/>
            <w:tcBorders>
              <w:top w:val="nil"/>
              <w:left w:val="nil"/>
              <w:bottom w:val="single" w:sz="4" w:space="0" w:color="auto"/>
              <w:right w:val="single" w:sz="4" w:space="0" w:color="auto"/>
            </w:tcBorders>
            <w:shd w:val="clear" w:color="auto" w:fill="auto"/>
            <w:noWrap/>
            <w:vAlign w:val="bottom"/>
            <w:hideMark/>
          </w:tcPr>
          <w:p w14:paraId="2CCB4285"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1348000</w:t>
            </w:r>
          </w:p>
        </w:tc>
        <w:tc>
          <w:tcPr>
            <w:tcW w:w="1940" w:type="dxa"/>
            <w:tcBorders>
              <w:top w:val="nil"/>
              <w:left w:val="nil"/>
              <w:bottom w:val="single" w:sz="4" w:space="0" w:color="auto"/>
              <w:right w:val="single" w:sz="4" w:space="0" w:color="auto"/>
            </w:tcBorders>
            <w:shd w:val="clear" w:color="auto" w:fill="auto"/>
            <w:noWrap/>
            <w:vAlign w:val="bottom"/>
            <w:hideMark/>
          </w:tcPr>
          <w:p w14:paraId="0CC3A922"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0.46</w:t>
            </w:r>
          </w:p>
        </w:tc>
      </w:tr>
      <w:tr w:rsidR="00924A1A" w:rsidRPr="00A46DC3" w14:paraId="2266CA91"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D95ECD"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1067" w:type="dxa"/>
            <w:tcBorders>
              <w:top w:val="nil"/>
              <w:left w:val="nil"/>
              <w:bottom w:val="single" w:sz="4" w:space="0" w:color="auto"/>
              <w:right w:val="single" w:sz="4" w:space="0" w:color="auto"/>
            </w:tcBorders>
            <w:shd w:val="clear" w:color="auto" w:fill="auto"/>
            <w:vAlign w:val="center"/>
            <w:hideMark/>
          </w:tcPr>
          <w:p w14:paraId="1F16A2A9"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5,800.00</w:t>
            </w:r>
          </w:p>
        </w:tc>
        <w:tc>
          <w:tcPr>
            <w:tcW w:w="1620" w:type="dxa"/>
            <w:tcBorders>
              <w:top w:val="nil"/>
              <w:left w:val="nil"/>
              <w:bottom w:val="single" w:sz="4" w:space="0" w:color="auto"/>
              <w:right w:val="single" w:sz="4" w:space="0" w:color="auto"/>
            </w:tcBorders>
            <w:shd w:val="clear" w:color="auto" w:fill="auto"/>
            <w:noWrap/>
            <w:vAlign w:val="bottom"/>
            <w:hideMark/>
          </w:tcPr>
          <w:p w14:paraId="426AEC1C"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1614000</w:t>
            </w:r>
          </w:p>
        </w:tc>
        <w:tc>
          <w:tcPr>
            <w:tcW w:w="1940" w:type="dxa"/>
            <w:tcBorders>
              <w:top w:val="nil"/>
              <w:left w:val="nil"/>
              <w:bottom w:val="single" w:sz="4" w:space="0" w:color="auto"/>
              <w:right w:val="single" w:sz="4" w:space="0" w:color="auto"/>
            </w:tcBorders>
            <w:shd w:val="clear" w:color="auto" w:fill="auto"/>
            <w:noWrap/>
            <w:vAlign w:val="bottom"/>
            <w:hideMark/>
          </w:tcPr>
          <w:p w14:paraId="1AF0C94A"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0.36</w:t>
            </w:r>
          </w:p>
        </w:tc>
      </w:tr>
      <w:tr w:rsidR="00924A1A" w:rsidRPr="00A46DC3" w14:paraId="69C8C329" w14:textId="77777777" w:rsidTr="007F1B27">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C75D65F" w14:textId="77777777" w:rsidR="00924A1A" w:rsidRPr="00A46DC3" w:rsidRDefault="00924A1A" w:rsidP="00924A1A">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1067" w:type="dxa"/>
            <w:tcBorders>
              <w:top w:val="nil"/>
              <w:left w:val="nil"/>
              <w:bottom w:val="single" w:sz="4" w:space="0" w:color="auto"/>
              <w:right w:val="single" w:sz="4" w:space="0" w:color="auto"/>
            </w:tcBorders>
            <w:shd w:val="clear" w:color="auto" w:fill="auto"/>
            <w:vAlign w:val="center"/>
            <w:hideMark/>
          </w:tcPr>
          <w:p w14:paraId="2FADCF1B"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5,500.00</w:t>
            </w:r>
          </w:p>
        </w:tc>
        <w:tc>
          <w:tcPr>
            <w:tcW w:w="1620" w:type="dxa"/>
            <w:tcBorders>
              <w:top w:val="nil"/>
              <w:left w:val="nil"/>
              <w:bottom w:val="single" w:sz="4" w:space="0" w:color="auto"/>
              <w:right w:val="single" w:sz="4" w:space="0" w:color="auto"/>
            </w:tcBorders>
            <w:shd w:val="clear" w:color="auto" w:fill="auto"/>
            <w:noWrap/>
            <w:vAlign w:val="bottom"/>
            <w:hideMark/>
          </w:tcPr>
          <w:p w14:paraId="39EF1B6C"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1850000</w:t>
            </w:r>
          </w:p>
        </w:tc>
        <w:tc>
          <w:tcPr>
            <w:tcW w:w="1940" w:type="dxa"/>
            <w:tcBorders>
              <w:top w:val="nil"/>
              <w:left w:val="nil"/>
              <w:bottom w:val="single" w:sz="4" w:space="0" w:color="auto"/>
              <w:right w:val="single" w:sz="4" w:space="0" w:color="auto"/>
            </w:tcBorders>
            <w:shd w:val="clear" w:color="auto" w:fill="auto"/>
            <w:noWrap/>
            <w:vAlign w:val="bottom"/>
            <w:hideMark/>
          </w:tcPr>
          <w:p w14:paraId="24FBC532" w14:textId="77777777" w:rsidR="00924A1A" w:rsidRPr="00A46DC3" w:rsidRDefault="00924A1A" w:rsidP="00924A1A">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0.30</w:t>
            </w:r>
          </w:p>
        </w:tc>
      </w:tr>
    </w:tbl>
    <w:p w14:paraId="1356C731" w14:textId="0CDA8F1E" w:rsidR="001A0696" w:rsidRPr="00A46DC3" w:rsidRDefault="007F1B27" w:rsidP="007F1B2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Figure 4.9: Showing the Gross NPA Ratio of HDFC </w:t>
      </w:r>
    </w:p>
    <w:p w14:paraId="1C1F698E" w14:textId="04A5C6B0" w:rsidR="00A70BD4" w:rsidRPr="00A46DC3" w:rsidRDefault="006F3D54" w:rsidP="001A0696">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66C3F619" wp14:editId="06C51035">
            <wp:extent cx="4572000" cy="2743200"/>
            <wp:effectExtent l="0" t="0" r="0" b="0"/>
            <wp:docPr id="94065482" name="Chart 1">
              <a:extLst xmlns:a="http://schemas.openxmlformats.org/drawingml/2006/main">
                <a:ext uri="{FF2B5EF4-FFF2-40B4-BE49-F238E27FC236}">
                  <a16:creationId xmlns:a16="http://schemas.microsoft.com/office/drawing/2014/main" id="{9492B46D-FF04-97EA-6079-0CA73E49B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01C7D5D" w14:textId="05D0865B" w:rsidR="00A70BD4" w:rsidRPr="00A46DC3" w:rsidRDefault="006F3D54" w:rsidP="00D9088C">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has been steadily </w:t>
      </w:r>
      <w:r w:rsidRPr="00A46DC3">
        <w:rPr>
          <w:rFonts w:ascii="Times New Roman" w:hAnsi="Times New Roman" w:cs="Times New Roman"/>
          <w:b/>
          <w:bCs/>
          <w:sz w:val="24"/>
          <w:szCs w:val="24"/>
        </w:rPr>
        <w:t>decreasing</w:t>
      </w:r>
      <w:r w:rsidRPr="00A46DC3">
        <w:rPr>
          <w:rFonts w:ascii="Times New Roman" w:hAnsi="Times New Roman" w:cs="Times New Roman"/>
          <w:sz w:val="24"/>
          <w:szCs w:val="24"/>
        </w:rPr>
        <w:t xml:space="preserve"> from </w:t>
      </w:r>
      <w:r w:rsidRPr="00A46DC3">
        <w:rPr>
          <w:rFonts w:ascii="Times New Roman" w:hAnsi="Times New Roman" w:cs="Times New Roman"/>
          <w:b/>
          <w:bCs/>
          <w:sz w:val="24"/>
          <w:szCs w:val="24"/>
        </w:rPr>
        <w:t>₹8,091.74 crore in 2019</w:t>
      </w:r>
      <w:r w:rsidRPr="00A46DC3">
        <w:rPr>
          <w:rFonts w:ascii="Times New Roman" w:hAnsi="Times New Roman" w:cs="Times New Roman"/>
          <w:sz w:val="24"/>
          <w:szCs w:val="24"/>
        </w:rPr>
        <w:t xml:space="preserve"> to </w:t>
      </w:r>
      <w:r w:rsidRPr="00A46DC3">
        <w:rPr>
          <w:rFonts w:ascii="Times New Roman" w:hAnsi="Times New Roman" w:cs="Times New Roman"/>
          <w:b/>
          <w:bCs/>
          <w:sz w:val="24"/>
          <w:szCs w:val="24"/>
        </w:rPr>
        <w:t>₹5,500 crore in 2024</w:t>
      </w:r>
      <w:r w:rsidRPr="00A46DC3">
        <w:rPr>
          <w:rFonts w:ascii="Times New Roman" w:hAnsi="Times New Roman" w:cs="Times New Roman"/>
          <w:sz w:val="24"/>
          <w:szCs w:val="24"/>
        </w:rPr>
        <w:t xml:space="preserve">. This indicates that HDFC Bank has been effectively managing and reducing its non-performing loans over the years. The consistent decline in </w:t>
      </w:r>
      <w:r w:rsidRPr="00A46DC3">
        <w:rPr>
          <w:rFonts w:ascii="Times New Roman" w:hAnsi="Times New Roman" w:cs="Times New Roman"/>
          <w:b/>
          <w:bCs/>
          <w:sz w:val="24"/>
          <w:szCs w:val="24"/>
        </w:rPr>
        <w:t>Gross NPA</w:t>
      </w:r>
      <w:r w:rsidRPr="00A46DC3">
        <w:rPr>
          <w:rFonts w:ascii="Times New Roman" w:hAnsi="Times New Roman" w:cs="Times New Roman"/>
          <w:sz w:val="24"/>
          <w:szCs w:val="24"/>
        </w:rPr>
        <w:t xml:space="preserve"> suggests improvements in </w:t>
      </w:r>
      <w:r w:rsidRPr="00A46DC3">
        <w:rPr>
          <w:rFonts w:ascii="Times New Roman" w:hAnsi="Times New Roman" w:cs="Times New Roman"/>
          <w:b/>
          <w:bCs/>
          <w:sz w:val="24"/>
          <w:szCs w:val="24"/>
        </w:rPr>
        <w:t>loan recovery</w:t>
      </w:r>
      <w:r w:rsidRPr="00A46DC3">
        <w:rPr>
          <w:rFonts w:ascii="Times New Roman" w:hAnsi="Times New Roman" w:cs="Times New Roman"/>
          <w:sz w:val="24"/>
          <w:szCs w:val="24"/>
        </w:rPr>
        <w:t xml:space="preserve">, </w:t>
      </w:r>
      <w:r w:rsidRPr="00A46DC3">
        <w:rPr>
          <w:rFonts w:ascii="Times New Roman" w:hAnsi="Times New Roman" w:cs="Times New Roman"/>
          <w:b/>
          <w:bCs/>
          <w:sz w:val="24"/>
          <w:szCs w:val="24"/>
        </w:rPr>
        <w:t>asset quality</w:t>
      </w:r>
      <w:r w:rsidRPr="00A46DC3">
        <w:rPr>
          <w:rFonts w:ascii="Times New Roman" w:hAnsi="Times New Roman" w:cs="Times New Roman"/>
          <w:sz w:val="24"/>
          <w:szCs w:val="24"/>
        </w:rPr>
        <w:t xml:space="preserve">, and </w:t>
      </w:r>
      <w:r w:rsidRPr="00A46DC3">
        <w:rPr>
          <w:rFonts w:ascii="Times New Roman" w:hAnsi="Times New Roman" w:cs="Times New Roman"/>
          <w:b/>
          <w:bCs/>
          <w:sz w:val="24"/>
          <w:szCs w:val="24"/>
        </w:rPr>
        <w:t>risk management practices</w:t>
      </w:r>
      <w:r w:rsidRPr="00A46DC3">
        <w:rPr>
          <w:rFonts w:ascii="Times New Roman" w:hAnsi="Times New Roman" w:cs="Times New Roman"/>
          <w:sz w:val="24"/>
          <w:szCs w:val="24"/>
        </w:rPr>
        <w:t xml:space="preserve">. The </w:t>
      </w:r>
      <w:r w:rsidRPr="00A46DC3">
        <w:rPr>
          <w:rFonts w:ascii="Times New Roman" w:hAnsi="Times New Roman" w:cs="Times New Roman"/>
          <w:b/>
          <w:bCs/>
          <w:sz w:val="24"/>
          <w:szCs w:val="24"/>
        </w:rPr>
        <w:t>reduction in bad loans</w:t>
      </w:r>
      <w:r w:rsidRPr="00A46DC3">
        <w:rPr>
          <w:rFonts w:ascii="Times New Roman" w:hAnsi="Times New Roman" w:cs="Times New Roman"/>
          <w:sz w:val="24"/>
          <w:szCs w:val="24"/>
        </w:rPr>
        <w:t xml:space="preserve"> is a positive indicator of the bank's ability to address credit risk.</w:t>
      </w:r>
      <w:r w:rsidR="00193140" w:rsidRPr="00A46DC3">
        <w:rPr>
          <w:rFonts w:ascii="Times New Roman" w:hAnsi="Times New Roman" w:cs="Times New Roman"/>
          <w:sz w:val="24"/>
          <w:szCs w:val="24"/>
        </w:rPr>
        <w:t xml:space="preserve"> </w:t>
      </w:r>
      <w:r w:rsidR="00996627" w:rsidRPr="00A46DC3">
        <w:rPr>
          <w:rFonts w:ascii="Times New Roman" w:hAnsi="Times New Roman" w:cs="Times New Roman"/>
          <w:b/>
          <w:bCs/>
          <w:sz w:val="24"/>
          <w:szCs w:val="24"/>
        </w:rPr>
        <w:t>Total Advances</w:t>
      </w:r>
      <w:r w:rsidR="00996627" w:rsidRPr="00A46DC3">
        <w:rPr>
          <w:rFonts w:ascii="Times New Roman" w:hAnsi="Times New Roman" w:cs="Times New Roman"/>
          <w:sz w:val="24"/>
          <w:szCs w:val="24"/>
        </w:rPr>
        <w:t xml:space="preserve"> have </w:t>
      </w:r>
      <w:r w:rsidR="00996627" w:rsidRPr="00A46DC3">
        <w:rPr>
          <w:rFonts w:ascii="Times New Roman" w:hAnsi="Times New Roman" w:cs="Times New Roman"/>
          <w:b/>
          <w:bCs/>
          <w:sz w:val="24"/>
          <w:szCs w:val="24"/>
        </w:rPr>
        <w:t>increased significantly</w:t>
      </w:r>
      <w:r w:rsidR="00996627" w:rsidRPr="00A46DC3">
        <w:rPr>
          <w:rFonts w:ascii="Times New Roman" w:hAnsi="Times New Roman" w:cs="Times New Roman"/>
          <w:sz w:val="24"/>
          <w:szCs w:val="24"/>
        </w:rPr>
        <w:t xml:space="preserve"> from </w:t>
      </w:r>
      <w:r w:rsidR="00996627" w:rsidRPr="00A46DC3">
        <w:rPr>
          <w:rFonts w:ascii="Times New Roman" w:hAnsi="Times New Roman" w:cs="Times New Roman"/>
          <w:b/>
          <w:bCs/>
          <w:sz w:val="24"/>
          <w:szCs w:val="24"/>
        </w:rPr>
        <w:t>₹8,19,000 crore in 2019</w:t>
      </w:r>
      <w:r w:rsidR="00996627" w:rsidRPr="00A46DC3">
        <w:rPr>
          <w:rFonts w:ascii="Times New Roman" w:hAnsi="Times New Roman" w:cs="Times New Roman"/>
          <w:sz w:val="24"/>
          <w:szCs w:val="24"/>
        </w:rPr>
        <w:t xml:space="preserve"> to </w:t>
      </w:r>
      <w:r w:rsidR="00996627" w:rsidRPr="00A46DC3">
        <w:rPr>
          <w:rFonts w:ascii="Times New Roman" w:hAnsi="Times New Roman" w:cs="Times New Roman"/>
          <w:b/>
          <w:bCs/>
          <w:sz w:val="24"/>
          <w:szCs w:val="24"/>
        </w:rPr>
        <w:t>₹18,50,000 crore in 2024</w:t>
      </w:r>
      <w:r w:rsidR="00996627" w:rsidRPr="00A46DC3">
        <w:rPr>
          <w:rFonts w:ascii="Times New Roman" w:hAnsi="Times New Roman" w:cs="Times New Roman"/>
          <w:sz w:val="24"/>
          <w:szCs w:val="24"/>
        </w:rPr>
        <w:t xml:space="preserve">. This growth in advances shows that the bank is expanding its loan book and increasing its lending activities. Despite this growth in loans, the </w:t>
      </w:r>
      <w:r w:rsidR="00996627" w:rsidRPr="00A46DC3">
        <w:rPr>
          <w:rFonts w:ascii="Times New Roman" w:hAnsi="Times New Roman" w:cs="Times New Roman"/>
          <w:b/>
          <w:bCs/>
          <w:sz w:val="24"/>
          <w:szCs w:val="24"/>
        </w:rPr>
        <w:t>Gross NPA</w:t>
      </w:r>
      <w:r w:rsidR="00996627" w:rsidRPr="00A46DC3">
        <w:rPr>
          <w:rFonts w:ascii="Times New Roman" w:hAnsi="Times New Roman" w:cs="Times New Roman"/>
          <w:sz w:val="24"/>
          <w:szCs w:val="24"/>
        </w:rPr>
        <w:t xml:space="preserve"> has decreased, suggesting that the bank has been successful in expanding its loan portfolio while keeping the level of bad loans under control.</w:t>
      </w:r>
      <w:r w:rsidR="00996627" w:rsidRPr="00A46DC3">
        <w:rPr>
          <w:rFonts w:ascii="Times New Roman" w:eastAsia="Times New Roman" w:hAnsi="Times New Roman" w:cs="Times New Roman"/>
          <w:kern w:val="0"/>
          <w:sz w:val="24"/>
          <w:szCs w:val="24"/>
          <w:lang w:eastAsia="en-GB"/>
          <w14:ligatures w14:val="none"/>
        </w:rPr>
        <w:t xml:space="preserve"> </w:t>
      </w:r>
      <w:r w:rsidR="00996627" w:rsidRPr="00A46DC3">
        <w:rPr>
          <w:rFonts w:ascii="Times New Roman" w:hAnsi="Times New Roman" w:cs="Times New Roman"/>
          <w:sz w:val="24"/>
          <w:szCs w:val="24"/>
        </w:rPr>
        <w:t xml:space="preserve">The </w:t>
      </w:r>
      <w:r w:rsidR="00996627" w:rsidRPr="00A46DC3">
        <w:rPr>
          <w:rFonts w:ascii="Times New Roman" w:hAnsi="Times New Roman" w:cs="Times New Roman"/>
          <w:b/>
          <w:bCs/>
          <w:sz w:val="24"/>
          <w:szCs w:val="24"/>
        </w:rPr>
        <w:t>Gross NPA Ratio</w:t>
      </w:r>
      <w:r w:rsidR="00996627" w:rsidRPr="00A46DC3">
        <w:rPr>
          <w:rFonts w:ascii="Times New Roman" w:hAnsi="Times New Roman" w:cs="Times New Roman"/>
          <w:sz w:val="24"/>
          <w:szCs w:val="24"/>
        </w:rPr>
        <w:t xml:space="preserve"> has been </w:t>
      </w:r>
      <w:r w:rsidR="00996627" w:rsidRPr="00A46DC3">
        <w:rPr>
          <w:rFonts w:ascii="Times New Roman" w:hAnsi="Times New Roman" w:cs="Times New Roman"/>
          <w:b/>
          <w:bCs/>
          <w:sz w:val="24"/>
          <w:szCs w:val="24"/>
        </w:rPr>
        <w:t>declining steadily</w:t>
      </w:r>
      <w:r w:rsidR="00996627" w:rsidRPr="00A46DC3">
        <w:rPr>
          <w:rFonts w:ascii="Times New Roman" w:hAnsi="Times New Roman" w:cs="Times New Roman"/>
          <w:sz w:val="24"/>
          <w:szCs w:val="24"/>
        </w:rPr>
        <w:t xml:space="preserve"> from </w:t>
      </w:r>
      <w:r w:rsidR="00996627" w:rsidRPr="00A46DC3">
        <w:rPr>
          <w:rFonts w:ascii="Times New Roman" w:hAnsi="Times New Roman" w:cs="Times New Roman"/>
          <w:b/>
          <w:bCs/>
          <w:sz w:val="24"/>
          <w:szCs w:val="24"/>
        </w:rPr>
        <w:t>0.99% in 2019</w:t>
      </w:r>
      <w:r w:rsidR="00996627" w:rsidRPr="00A46DC3">
        <w:rPr>
          <w:rFonts w:ascii="Times New Roman" w:hAnsi="Times New Roman" w:cs="Times New Roman"/>
          <w:sz w:val="24"/>
          <w:szCs w:val="24"/>
        </w:rPr>
        <w:t xml:space="preserve"> to </w:t>
      </w:r>
      <w:r w:rsidR="00996627" w:rsidRPr="00A46DC3">
        <w:rPr>
          <w:rFonts w:ascii="Times New Roman" w:hAnsi="Times New Roman" w:cs="Times New Roman"/>
          <w:b/>
          <w:bCs/>
          <w:sz w:val="24"/>
          <w:szCs w:val="24"/>
        </w:rPr>
        <w:t>0.30% in 2024</w:t>
      </w:r>
      <w:r w:rsidR="00996627" w:rsidRPr="00A46DC3">
        <w:rPr>
          <w:rFonts w:ascii="Times New Roman" w:hAnsi="Times New Roman" w:cs="Times New Roman"/>
          <w:sz w:val="24"/>
          <w:szCs w:val="24"/>
        </w:rPr>
        <w:t xml:space="preserve">. This is a </w:t>
      </w:r>
      <w:r w:rsidR="00996627" w:rsidRPr="00A46DC3">
        <w:rPr>
          <w:rFonts w:ascii="Times New Roman" w:hAnsi="Times New Roman" w:cs="Times New Roman"/>
          <w:b/>
          <w:bCs/>
          <w:sz w:val="24"/>
          <w:szCs w:val="24"/>
        </w:rPr>
        <w:t>significant improvement</w:t>
      </w:r>
      <w:r w:rsidR="00996627" w:rsidRPr="00A46DC3">
        <w:rPr>
          <w:rFonts w:ascii="Times New Roman" w:hAnsi="Times New Roman" w:cs="Times New Roman"/>
          <w:sz w:val="24"/>
          <w:szCs w:val="24"/>
        </w:rPr>
        <w:t xml:space="preserve">, showing that while the bank’s lending has increased, the proportion of non-performing loans relative to its advances is shrinking. The </w:t>
      </w:r>
      <w:r w:rsidR="00996627" w:rsidRPr="00A46DC3">
        <w:rPr>
          <w:rFonts w:ascii="Times New Roman" w:hAnsi="Times New Roman" w:cs="Times New Roman"/>
          <w:b/>
          <w:bCs/>
          <w:sz w:val="24"/>
          <w:szCs w:val="24"/>
        </w:rPr>
        <w:t>declining GPA Ratio</w:t>
      </w:r>
      <w:r w:rsidR="00996627" w:rsidRPr="00A46DC3">
        <w:rPr>
          <w:rFonts w:ascii="Times New Roman" w:hAnsi="Times New Roman" w:cs="Times New Roman"/>
          <w:sz w:val="24"/>
          <w:szCs w:val="24"/>
        </w:rPr>
        <w:t xml:space="preserve"> indicates that HDFC Bank’s </w:t>
      </w:r>
      <w:r w:rsidR="00996627" w:rsidRPr="00A46DC3">
        <w:rPr>
          <w:rFonts w:ascii="Times New Roman" w:hAnsi="Times New Roman" w:cs="Times New Roman"/>
          <w:b/>
          <w:bCs/>
          <w:sz w:val="24"/>
          <w:szCs w:val="24"/>
        </w:rPr>
        <w:t>asset quality</w:t>
      </w:r>
      <w:r w:rsidR="00996627" w:rsidRPr="00A46DC3">
        <w:rPr>
          <w:rFonts w:ascii="Times New Roman" w:hAnsi="Times New Roman" w:cs="Times New Roman"/>
          <w:sz w:val="24"/>
          <w:szCs w:val="24"/>
        </w:rPr>
        <w:t xml:space="preserve"> is improving, as the ratio shows a smaller portion of its total loan book is at risk of default. A </w:t>
      </w:r>
      <w:r w:rsidR="00996627" w:rsidRPr="00A46DC3">
        <w:rPr>
          <w:rFonts w:ascii="Times New Roman" w:hAnsi="Times New Roman" w:cs="Times New Roman"/>
          <w:b/>
          <w:bCs/>
          <w:sz w:val="24"/>
          <w:szCs w:val="24"/>
        </w:rPr>
        <w:t>GPA Ratio of 0.30%</w:t>
      </w:r>
      <w:r w:rsidR="00996627" w:rsidRPr="00A46DC3">
        <w:rPr>
          <w:rFonts w:ascii="Times New Roman" w:hAnsi="Times New Roman" w:cs="Times New Roman"/>
          <w:sz w:val="24"/>
          <w:szCs w:val="24"/>
        </w:rPr>
        <w:t xml:space="preserve"> in </w:t>
      </w:r>
      <w:r w:rsidR="00996627" w:rsidRPr="00A46DC3">
        <w:rPr>
          <w:rFonts w:ascii="Times New Roman" w:hAnsi="Times New Roman" w:cs="Times New Roman"/>
          <w:b/>
          <w:bCs/>
          <w:sz w:val="24"/>
          <w:szCs w:val="24"/>
        </w:rPr>
        <w:t>2024</w:t>
      </w:r>
      <w:r w:rsidR="00996627" w:rsidRPr="00A46DC3">
        <w:rPr>
          <w:rFonts w:ascii="Times New Roman" w:hAnsi="Times New Roman" w:cs="Times New Roman"/>
          <w:sz w:val="24"/>
          <w:szCs w:val="24"/>
        </w:rPr>
        <w:t xml:space="preserve"> is exceptionally low, </w:t>
      </w:r>
      <w:r w:rsidR="00D9088C" w:rsidRPr="00A46DC3">
        <w:rPr>
          <w:rFonts w:ascii="Times New Roman" w:hAnsi="Times New Roman" w:cs="Times New Roman"/>
          <w:sz w:val="24"/>
          <w:szCs w:val="24"/>
        </w:rPr>
        <w:t>signalling</w:t>
      </w:r>
      <w:r w:rsidR="00996627" w:rsidRPr="00A46DC3">
        <w:rPr>
          <w:rFonts w:ascii="Times New Roman" w:hAnsi="Times New Roman" w:cs="Times New Roman"/>
          <w:sz w:val="24"/>
          <w:szCs w:val="24"/>
        </w:rPr>
        <w:t xml:space="preserve"> that the bank is managing credit risk very effectively and maintaining a high-quality loan portfolio.</w:t>
      </w:r>
    </w:p>
    <w:p w14:paraId="5B2D5914" w14:textId="3F1D6E9B" w:rsidR="00924A1A" w:rsidRPr="00A46DC3" w:rsidRDefault="00924A1A" w:rsidP="00924A1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10</w:t>
      </w:r>
      <w:r w:rsidRPr="00A46DC3">
        <w:rPr>
          <w:rFonts w:ascii="Times New Roman" w:hAnsi="Times New Roman" w:cs="Times New Roman"/>
          <w:b/>
          <w:bCs/>
          <w:sz w:val="24"/>
          <w:szCs w:val="24"/>
        </w:rPr>
        <w:t xml:space="preserve"> Net NPA Ratio of HDFC:</w:t>
      </w:r>
    </w:p>
    <w:p w14:paraId="75BF3059" w14:textId="2656240C" w:rsidR="00924A1A" w:rsidRPr="00A46DC3" w:rsidRDefault="00924A1A" w:rsidP="00924A1A">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10</w:t>
      </w:r>
      <w:r w:rsidRPr="00A46DC3">
        <w:rPr>
          <w:rFonts w:ascii="Times New Roman" w:hAnsi="Times New Roman" w:cs="Times New Roman"/>
          <w:b/>
          <w:bCs/>
          <w:sz w:val="24"/>
          <w:szCs w:val="24"/>
        </w:rPr>
        <w:t>: Showing the Net NPA Ratio of HDFC (Rs. in cr)</w:t>
      </w:r>
    </w:p>
    <w:tbl>
      <w:tblPr>
        <w:tblW w:w="5603" w:type="dxa"/>
        <w:tblInd w:w="113" w:type="dxa"/>
        <w:tblLook w:val="04A0" w:firstRow="1" w:lastRow="0" w:firstColumn="1" w:lastColumn="0" w:noHBand="0" w:noVBand="1"/>
      </w:tblPr>
      <w:tblGrid>
        <w:gridCol w:w="1076"/>
        <w:gridCol w:w="1365"/>
        <w:gridCol w:w="1919"/>
        <w:gridCol w:w="1243"/>
      </w:tblGrid>
      <w:tr w:rsidR="00D9088C" w:rsidRPr="00A46DC3" w14:paraId="5D75573F" w14:textId="77777777" w:rsidTr="00EA1655">
        <w:trPr>
          <w:trHeight w:val="326"/>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35094"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YEAR</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C26E76E"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Net NPA</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1B891A24"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Total Advances</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5BC8CE0"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NPA Ratio (%)</w:t>
            </w:r>
          </w:p>
        </w:tc>
      </w:tr>
      <w:tr w:rsidR="00D9088C" w:rsidRPr="00A46DC3" w14:paraId="6DBA0C44"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79A0FF0C"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2019</w:t>
            </w:r>
          </w:p>
        </w:tc>
        <w:tc>
          <w:tcPr>
            <w:tcW w:w="1365" w:type="dxa"/>
            <w:tcBorders>
              <w:top w:val="nil"/>
              <w:left w:val="nil"/>
              <w:bottom w:val="single" w:sz="4" w:space="0" w:color="auto"/>
              <w:right w:val="single" w:sz="4" w:space="0" w:color="auto"/>
            </w:tcBorders>
            <w:shd w:val="clear" w:color="auto" w:fill="auto"/>
            <w:vAlign w:val="center"/>
            <w:hideMark/>
          </w:tcPr>
          <w:p w14:paraId="30657688"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4,368.43</w:t>
            </w:r>
          </w:p>
        </w:tc>
        <w:tc>
          <w:tcPr>
            <w:tcW w:w="1919" w:type="dxa"/>
            <w:tcBorders>
              <w:top w:val="nil"/>
              <w:left w:val="nil"/>
              <w:bottom w:val="single" w:sz="4" w:space="0" w:color="auto"/>
              <w:right w:val="single" w:sz="4" w:space="0" w:color="auto"/>
            </w:tcBorders>
            <w:shd w:val="clear" w:color="auto" w:fill="auto"/>
            <w:noWrap/>
            <w:vAlign w:val="bottom"/>
            <w:hideMark/>
          </w:tcPr>
          <w:p w14:paraId="3F810CF5"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819000</w:t>
            </w:r>
          </w:p>
        </w:tc>
        <w:tc>
          <w:tcPr>
            <w:tcW w:w="1243" w:type="dxa"/>
            <w:tcBorders>
              <w:top w:val="nil"/>
              <w:left w:val="nil"/>
              <w:bottom w:val="single" w:sz="4" w:space="0" w:color="auto"/>
              <w:right w:val="single" w:sz="4" w:space="0" w:color="auto"/>
            </w:tcBorders>
            <w:shd w:val="clear" w:color="auto" w:fill="auto"/>
            <w:noWrap/>
            <w:vAlign w:val="bottom"/>
            <w:hideMark/>
          </w:tcPr>
          <w:p w14:paraId="54DAECC4"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0.533</w:t>
            </w:r>
          </w:p>
        </w:tc>
      </w:tr>
      <w:tr w:rsidR="00D9088C" w:rsidRPr="00A46DC3" w14:paraId="06C6E930"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15759094"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2020</w:t>
            </w:r>
          </w:p>
        </w:tc>
        <w:tc>
          <w:tcPr>
            <w:tcW w:w="1365" w:type="dxa"/>
            <w:tcBorders>
              <w:top w:val="nil"/>
              <w:left w:val="nil"/>
              <w:bottom w:val="single" w:sz="4" w:space="0" w:color="auto"/>
              <w:right w:val="single" w:sz="4" w:space="0" w:color="auto"/>
            </w:tcBorders>
            <w:shd w:val="clear" w:color="auto" w:fill="auto"/>
            <w:vAlign w:val="center"/>
            <w:hideMark/>
          </w:tcPr>
          <w:p w14:paraId="5A384B9D"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3,500.00</w:t>
            </w:r>
          </w:p>
        </w:tc>
        <w:tc>
          <w:tcPr>
            <w:tcW w:w="1919" w:type="dxa"/>
            <w:tcBorders>
              <w:top w:val="nil"/>
              <w:left w:val="nil"/>
              <w:bottom w:val="single" w:sz="4" w:space="0" w:color="auto"/>
              <w:right w:val="single" w:sz="4" w:space="0" w:color="auto"/>
            </w:tcBorders>
            <w:shd w:val="clear" w:color="auto" w:fill="auto"/>
            <w:noWrap/>
            <w:vAlign w:val="bottom"/>
            <w:hideMark/>
          </w:tcPr>
          <w:p w14:paraId="3CB9BBAC"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937000</w:t>
            </w:r>
          </w:p>
        </w:tc>
        <w:tc>
          <w:tcPr>
            <w:tcW w:w="1243" w:type="dxa"/>
            <w:tcBorders>
              <w:top w:val="nil"/>
              <w:left w:val="nil"/>
              <w:bottom w:val="single" w:sz="4" w:space="0" w:color="auto"/>
              <w:right w:val="single" w:sz="4" w:space="0" w:color="auto"/>
            </w:tcBorders>
            <w:shd w:val="clear" w:color="auto" w:fill="auto"/>
            <w:noWrap/>
            <w:vAlign w:val="bottom"/>
            <w:hideMark/>
          </w:tcPr>
          <w:p w14:paraId="3C619611"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0.374</w:t>
            </w:r>
          </w:p>
        </w:tc>
      </w:tr>
      <w:tr w:rsidR="00D9088C" w:rsidRPr="00A46DC3" w14:paraId="35380541"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17EC9634"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2021</w:t>
            </w:r>
          </w:p>
        </w:tc>
        <w:tc>
          <w:tcPr>
            <w:tcW w:w="1365" w:type="dxa"/>
            <w:tcBorders>
              <w:top w:val="nil"/>
              <w:left w:val="nil"/>
              <w:bottom w:val="single" w:sz="4" w:space="0" w:color="auto"/>
              <w:right w:val="single" w:sz="4" w:space="0" w:color="auto"/>
            </w:tcBorders>
            <w:shd w:val="clear" w:color="auto" w:fill="auto"/>
            <w:vAlign w:val="center"/>
            <w:hideMark/>
          </w:tcPr>
          <w:p w14:paraId="6A4B1278"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3,000.00</w:t>
            </w:r>
          </w:p>
        </w:tc>
        <w:tc>
          <w:tcPr>
            <w:tcW w:w="1919" w:type="dxa"/>
            <w:tcBorders>
              <w:top w:val="nil"/>
              <w:left w:val="nil"/>
              <w:bottom w:val="single" w:sz="4" w:space="0" w:color="auto"/>
              <w:right w:val="single" w:sz="4" w:space="0" w:color="auto"/>
            </w:tcBorders>
            <w:shd w:val="clear" w:color="auto" w:fill="auto"/>
            <w:noWrap/>
            <w:vAlign w:val="bottom"/>
            <w:hideMark/>
          </w:tcPr>
          <w:p w14:paraId="5D106DAB"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1133000</w:t>
            </w:r>
          </w:p>
        </w:tc>
        <w:tc>
          <w:tcPr>
            <w:tcW w:w="1243" w:type="dxa"/>
            <w:tcBorders>
              <w:top w:val="nil"/>
              <w:left w:val="nil"/>
              <w:bottom w:val="single" w:sz="4" w:space="0" w:color="auto"/>
              <w:right w:val="single" w:sz="4" w:space="0" w:color="auto"/>
            </w:tcBorders>
            <w:shd w:val="clear" w:color="auto" w:fill="auto"/>
            <w:noWrap/>
            <w:vAlign w:val="bottom"/>
            <w:hideMark/>
          </w:tcPr>
          <w:p w14:paraId="5A4C1E6C"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0.265</w:t>
            </w:r>
          </w:p>
        </w:tc>
      </w:tr>
      <w:tr w:rsidR="00D9088C" w:rsidRPr="00A46DC3" w14:paraId="3DDD99E7"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412E574B"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2022</w:t>
            </w:r>
          </w:p>
        </w:tc>
        <w:tc>
          <w:tcPr>
            <w:tcW w:w="1365" w:type="dxa"/>
            <w:tcBorders>
              <w:top w:val="nil"/>
              <w:left w:val="nil"/>
              <w:bottom w:val="single" w:sz="4" w:space="0" w:color="auto"/>
              <w:right w:val="single" w:sz="4" w:space="0" w:color="auto"/>
            </w:tcBorders>
            <w:shd w:val="clear" w:color="auto" w:fill="auto"/>
            <w:vAlign w:val="center"/>
            <w:hideMark/>
          </w:tcPr>
          <w:p w14:paraId="29D7B96E"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2,500.00</w:t>
            </w:r>
          </w:p>
        </w:tc>
        <w:tc>
          <w:tcPr>
            <w:tcW w:w="1919" w:type="dxa"/>
            <w:tcBorders>
              <w:top w:val="nil"/>
              <w:left w:val="nil"/>
              <w:bottom w:val="single" w:sz="4" w:space="0" w:color="auto"/>
              <w:right w:val="single" w:sz="4" w:space="0" w:color="auto"/>
            </w:tcBorders>
            <w:shd w:val="clear" w:color="auto" w:fill="auto"/>
            <w:noWrap/>
            <w:vAlign w:val="bottom"/>
            <w:hideMark/>
          </w:tcPr>
          <w:p w14:paraId="53F17AFD"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1348000</w:t>
            </w:r>
          </w:p>
        </w:tc>
        <w:tc>
          <w:tcPr>
            <w:tcW w:w="1243" w:type="dxa"/>
            <w:tcBorders>
              <w:top w:val="nil"/>
              <w:left w:val="nil"/>
              <w:bottom w:val="single" w:sz="4" w:space="0" w:color="auto"/>
              <w:right w:val="single" w:sz="4" w:space="0" w:color="auto"/>
            </w:tcBorders>
            <w:shd w:val="clear" w:color="auto" w:fill="auto"/>
            <w:noWrap/>
            <w:vAlign w:val="bottom"/>
            <w:hideMark/>
          </w:tcPr>
          <w:p w14:paraId="7208276E"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0.185</w:t>
            </w:r>
          </w:p>
        </w:tc>
      </w:tr>
      <w:tr w:rsidR="00D9088C" w:rsidRPr="00A46DC3" w14:paraId="0DF8CEF8"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7965FEF8"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2023</w:t>
            </w:r>
          </w:p>
        </w:tc>
        <w:tc>
          <w:tcPr>
            <w:tcW w:w="1365" w:type="dxa"/>
            <w:tcBorders>
              <w:top w:val="nil"/>
              <w:left w:val="nil"/>
              <w:bottom w:val="single" w:sz="4" w:space="0" w:color="auto"/>
              <w:right w:val="single" w:sz="4" w:space="0" w:color="auto"/>
            </w:tcBorders>
            <w:shd w:val="clear" w:color="auto" w:fill="auto"/>
            <w:vAlign w:val="center"/>
            <w:hideMark/>
          </w:tcPr>
          <w:p w14:paraId="58F357F1"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2,200.00</w:t>
            </w:r>
          </w:p>
        </w:tc>
        <w:tc>
          <w:tcPr>
            <w:tcW w:w="1919" w:type="dxa"/>
            <w:tcBorders>
              <w:top w:val="nil"/>
              <w:left w:val="nil"/>
              <w:bottom w:val="single" w:sz="4" w:space="0" w:color="auto"/>
              <w:right w:val="single" w:sz="4" w:space="0" w:color="auto"/>
            </w:tcBorders>
            <w:shd w:val="clear" w:color="auto" w:fill="auto"/>
            <w:noWrap/>
            <w:vAlign w:val="bottom"/>
            <w:hideMark/>
          </w:tcPr>
          <w:p w14:paraId="0A81AF77"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1614000</w:t>
            </w:r>
          </w:p>
        </w:tc>
        <w:tc>
          <w:tcPr>
            <w:tcW w:w="1243" w:type="dxa"/>
            <w:tcBorders>
              <w:top w:val="nil"/>
              <w:left w:val="nil"/>
              <w:bottom w:val="single" w:sz="4" w:space="0" w:color="auto"/>
              <w:right w:val="single" w:sz="4" w:space="0" w:color="auto"/>
            </w:tcBorders>
            <w:shd w:val="clear" w:color="auto" w:fill="auto"/>
            <w:noWrap/>
            <w:vAlign w:val="bottom"/>
            <w:hideMark/>
          </w:tcPr>
          <w:p w14:paraId="2C3525D3"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0.136</w:t>
            </w:r>
          </w:p>
        </w:tc>
      </w:tr>
      <w:tr w:rsidR="00D9088C" w:rsidRPr="00A46DC3" w14:paraId="2C8021C6" w14:textId="77777777" w:rsidTr="00EA1655">
        <w:trPr>
          <w:trHeight w:val="326"/>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1D28C63B" w14:textId="77777777" w:rsidR="00D9088C" w:rsidRPr="00A46DC3" w:rsidRDefault="00D9088C" w:rsidP="00EA1655">
            <w:pPr>
              <w:spacing w:after="0" w:line="240" w:lineRule="auto"/>
              <w:jc w:val="center"/>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2024</w:t>
            </w:r>
          </w:p>
        </w:tc>
        <w:tc>
          <w:tcPr>
            <w:tcW w:w="1365" w:type="dxa"/>
            <w:tcBorders>
              <w:top w:val="nil"/>
              <w:left w:val="nil"/>
              <w:bottom w:val="single" w:sz="4" w:space="0" w:color="auto"/>
              <w:right w:val="single" w:sz="4" w:space="0" w:color="auto"/>
            </w:tcBorders>
            <w:shd w:val="clear" w:color="auto" w:fill="auto"/>
            <w:vAlign w:val="center"/>
            <w:hideMark/>
          </w:tcPr>
          <w:p w14:paraId="40497982"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eastAsia="en-IN"/>
                <w14:ligatures w14:val="none"/>
              </w:rPr>
              <w:t>2,000.00</w:t>
            </w:r>
          </w:p>
        </w:tc>
        <w:tc>
          <w:tcPr>
            <w:tcW w:w="1919" w:type="dxa"/>
            <w:tcBorders>
              <w:top w:val="nil"/>
              <w:left w:val="nil"/>
              <w:bottom w:val="single" w:sz="4" w:space="0" w:color="auto"/>
              <w:right w:val="single" w:sz="4" w:space="0" w:color="auto"/>
            </w:tcBorders>
            <w:shd w:val="clear" w:color="auto" w:fill="auto"/>
            <w:noWrap/>
            <w:vAlign w:val="bottom"/>
            <w:hideMark/>
          </w:tcPr>
          <w:p w14:paraId="5DC75348"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1850000</w:t>
            </w:r>
          </w:p>
        </w:tc>
        <w:tc>
          <w:tcPr>
            <w:tcW w:w="1243" w:type="dxa"/>
            <w:tcBorders>
              <w:top w:val="nil"/>
              <w:left w:val="nil"/>
              <w:bottom w:val="single" w:sz="4" w:space="0" w:color="auto"/>
              <w:right w:val="single" w:sz="4" w:space="0" w:color="auto"/>
            </w:tcBorders>
            <w:shd w:val="clear" w:color="auto" w:fill="auto"/>
            <w:noWrap/>
            <w:vAlign w:val="bottom"/>
            <w:hideMark/>
          </w:tcPr>
          <w:p w14:paraId="42D2CFF1" w14:textId="77777777" w:rsidR="00D9088C" w:rsidRPr="00A46DC3" w:rsidRDefault="00D9088C" w:rsidP="00EA165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A46DC3">
              <w:rPr>
                <w:rFonts w:ascii="Times New Roman" w:eastAsia="Times New Roman" w:hAnsi="Times New Roman" w:cs="Times New Roman"/>
                <w:color w:val="000000"/>
                <w:kern w:val="0"/>
                <w:sz w:val="24"/>
                <w:szCs w:val="24"/>
                <w:lang w:val="en-IN" w:eastAsia="en-IN"/>
                <w14:ligatures w14:val="none"/>
              </w:rPr>
              <w:t>0.108</w:t>
            </w:r>
          </w:p>
        </w:tc>
      </w:tr>
    </w:tbl>
    <w:p w14:paraId="7D2A4F33" w14:textId="2959BDBB" w:rsidR="00924A1A" w:rsidRPr="00A46DC3" w:rsidRDefault="00BF2D25" w:rsidP="00BF2D25">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 xml:space="preserve">Figure 4.10: Showing the Net NPA Ratio of HDFC </w:t>
      </w:r>
    </w:p>
    <w:p w14:paraId="7C16BC88" w14:textId="2502D86E" w:rsidR="00924A1A" w:rsidRPr="00A46DC3" w:rsidRDefault="00D9088C" w:rsidP="001A0696">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anchor distT="0" distB="0" distL="114300" distR="114300" simplePos="0" relativeHeight="251665920" behindDoc="0" locked="0" layoutInCell="1" allowOverlap="1" wp14:anchorId="105C94E0" wp14:editId="259E81DB">
            <wp:simplePos x="0" y="0"/>
            <wp:positionH relativeFrom="column">
              <wp:posOffset>0</wp:posOffset>
            </wp:positionH>
            <wp:positionV relativeFrom="paragraph">
              <wp:posOffset>31750</wp:posOffset>
            </wp:positionV>
            <wp:extent cx="4572000" cy="2743200"/>
            <wp:effectExtent l="0" t="0" r="0" b="0"/>
            <wp:wrapSquare wrapText="bothSides"/>
            <wp:docPr id="1741008910" name="Chart 1">
              <a:extLst xmlns:a="http://schemas.openxmlformats.org/drawingml/2006/main">
                <a:ext uri="{FF2B5EF4-FFF2-40B4-BE49-F238E27FC236}">
                  <a16:creationId xmlns:a16="http://schemas.microsoft.com/office/drawing/2014/main" id="{ECA0D1BE-BB3B-947F-3368-809B08736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anchor>
        </w:drawing>
      </w:r>
    </w:p>
    <w:p w14:paraId="5296DCBA" w14:textId="15F64D5E" w:rsidR="0037587A" w:rsidRPr="00A46DC3" w:rsidRDefault="0037587A" w:rsidP="001A0696">
      <w:pPr>
        <w:tabs>
          <w:tab w:val="left" w:pos="5304"/>
        </w:tabs>
        <w:rPr>
          <w:rFonts w:ascii="Times New Roman" w:hAnsi="Times New Roman" w:cs="Times New Roman"/>
          <w:b/>
          <w:bCs/>
          <w:sz w:val="24"/>
          <w:szCs w:val="24"/>
        </w:rPr>
      </w:pPr>
    </w:p>
    <w:p w14:paraId="0F4CC829" w14:textId="77777777" w:rsidR="00D9088C" w:rsidRPr="00A46DC3" w:rsidRDefault="00D9088C" w:rsidP="001A0696">
      <w:pPr>
        <w:tabs>
          <w:tab w:val="left" w:pos="5304"/>
        </w:tabs>
        <w:rPr>
          <w:rFonts w:ascii="Times New Roman" w:hAnsi="Times New Roman" w:cs="Times New Roman"/>
          <w:b/>
          <w:bCs/>
          <w:sz w:val="24"/>
          <w:szCs w:val="24"/>
        </w:rPr>
      </w:pPr>
    </w:p>
    <w:p w14:paraId="2AD46D14" w14:textId="77777777" w:rsidR="00D9088C" w:rsidRPr="00A46DC3" w:rsidRDefault="00D9088C" w:rsidP="001A0696">
      <w:pPr>
        <w:tabs>
          <w:tab w:val="left" w:pos="5304"/>
        </w:tabs>
        <w:rPr>
          <w:rFonts w:ascii="Times New Roman" w:hAnsi="Times New Roman" w:cs="Times New Roman"/>
          <w:b/>
          <w:bCs/>
          <w:sz w:val="24"/>
          <w:szCs w:val="24"/>
        </w:rPr>
      </w:pPr>
    </w:p>
    <w:p w14:paraId="0F5A295E" w14:textId="77777777" w:rsidR="00D9088C" w:rsidRPr="00A46DC3" w:rsidRDefault="00D9088C" w:rsidP="001A0696">
      <w:pPr>
        <w:tabs>
          <w:tab w:val="left" w:pos="5304"/>
        </w:tabs>
        <w:rPr>
          <w:rFonts w:ascii="Times New Roman" w:hAnsi="Times New Roman" w:cs="Times New Roman"/>
          <w:b/>
          <w:bCs/>
          <w:sz w:val="24"/>
          <w:szCs w:val="24"/>
        </w:rPr>
      </w:pPr>
    </w:p>
    <w:p w14:paraId="23887901" w14:textId="77777777" w:rsidR="00D9088C" w:rsidRPr="00A46DC3" w:rsidRDefault="00D9088C" w:rsidP="001A0696">
      <w:pPr>
        <w:tabs>
          <w:tab w:val="left" w:pos="5304"/>
        </w:tabs>
        <w:rPr>
          <w:rFonts w:ascii="Times New Roman" w:hAnsi="Times New Roman" w:cs="Times New Roman"/>
          <w:b/>
          <w:bCs/>
          <w:sz w:val="24"/>
          <w:szCs w:val="24"/>
        </w:rPr>
      </w:pPr>
    </w:p>
    <w:p w14:paraId="4977F283" w14:textId="77777777" w:rsidR="00D9088C" w:rsidRPr="00A46DC3" w:rsidRDefault="00D9088C" w:rsidP="001A0696">
      <w:pPr>
        <w:tabs>
          <w:tab w:val="left" w:pos="5304"/>
        </w:tabs>
        <w:rPr>
          <w:rFonts w:ascii="Times New Roman" w:hAnsi="Times New Roman" w:cs="Times New Roman"/>
          <w:b/>
          <w:bCs/>
          <w:sz w:val="24"/>
          <w:szCs w:val="24"/>
        </w:rPr>
      </w:pPr>
    </w:p>
    <w:p w14:paraId="1541E4C5" w14:textId="77777777" w:rsidR="00D9088C" w:rsidRPr="00A46DC3" w:rsidRDefault="00D9088C" w:rsidP="001A0696">
      <w:pPr>
        <w:tabs>
          <w:tab w:val="left" w:pos="5304"/>
        </w:tabs>
        <w:rPr>
          <w:rFonts w:ascii="Times New Roman" w:hAnsi="Times New Roman" w:cs="Times New Roman"/>
          <w:b/>
          <w:bCs/>
          <w:sz w:val="24"/>
          <w:szCs w:val="24"/>
        </w:rPr>
      </w:pPr>
    </w:p>
    <w:p w14:paraId="32D0CF4E" w14:textId="77777777" w:rsidR="00D9088C" w:rsidRPr="00A46DC3" w:rsidRDefault="00D9088C" w:rsidP="001A0696">
      <w:pPr>
        <w:tabs>
          <w:tab w:val="left" w:pos="5304"/>
        </w:tabs>
        <w:rPr>
          <w:rFonts w:ascii="Times New Roman" w:hAnsi="Times New Roman" w:cs="Times New Roman"/>
          <w:b/>
          <w:bCs/>
          <w:sz w:val="24"/>
          <w:szCs w:val="24"/>
        </w:rPr>
      </w:pPr>
    </w:p>
    <w:p w14:paraId="1311E922" w14:textId="77777777" w:rsidR="00D9088C" w:rsidRPr="00A46DC3" w:rsidRDefault="00D9088C" w:rsidP="001A0696">
      <w:pPr>
        <w:tabs>
          <w:tab w:val="left" w:pos="5304"/>
        </w:tabs>
        <w:rPr>
          <w:rFonts w:ascii="Times New Roman" w:hAnsi="Times New Roman" w:cs="Times New Roman"/>
          <w:b/>
          <w:bCs/>
          <w:sz w:val="24"/>
          <w:szCs w:val="24"/>
        </w:rPr>
      </w:pPr>
    </w:p>
    <w:p w14:paraId="1D8F8A0D" w14:textId="224F3257" w:rsidR="00D9088C" w:rsidRPr="00A46DC3" w:rsidRDefault="00D9088C" w:rsidP="00ED33C7">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009B59A0" w:rsidRPr="00A46DC3">
        <w:rPr>
          <w:rFonts w:ascii="Times New Roman" w:hAnsi="Times New Roman" w:cs="Times New Roman"/>
          <w:b/>
          <w:bCs/>
          <w:sz w:val="24"/>
          <w:szCs w:val="24"/>
        </w:rPr>
        <w:t>Net NPA</w:t>
      </w:r>
      <w:r w:rsidR="009B59A0" w:rsidRPr="00A46DC3">
        <w:rPr>
          <w:rFonts w:ascii="Times New Roman" w:hAnsi="Times New Roman" w:cs="Times New Roman"/>
          <w:sz w:val="24"/>
          <w:szCs w:val="24"/>
        </w:rPr>
        <w:t xml:space="preserve"> has </w:t>
      </w:r>
      <w:r w:rsidR="009B59A0" w:rsidRPr="00A46DC3">
        <w:rPr>
          <w:rFonts w:ascii="Times New Roman" w:hAnsi="Times New Roman" w:cs="Times New Roman"/>
          <w:b/>
          <w:bCs/>
          <w:sz w:val="24"/>
          <w:szCs w:val="24"/>
        </w:rPr>
        <w:t>decreased steadily</w:t>
      </w:r>
      <w:r w:rsidR="009B59A0" w:rsidRPr="00A46DC3">
        <w:rPr>
          <w:rFonts w:ascii="Times New Roman" w:hAnsi="Times New Roman" w:cs="Times New Roman"/>
          <w:sz w:val="24"/>
          <w:szCs w:val="24"/>
        </w:rPr>
        <w:t xml:space="preserve"> from </w:t>
      </w:r>
      <w:r w:rsidR="009B59A0" w:rsidRPr="00A46DC3">
        <w:rPr>
          <w:rFonts w:ascii="Times New Roman" w:hAnsi="Times New Roman" w:cs="Times New Roman"/>
          <w:b/>
          <w:bCs/>
          <w:sz w:val="24"/>
          <w:szCs w:val="24"/>
        </w:rPr>
        <w:t>₹4,368.43 crore in 2019</w:t>
      </w:r>
      <w:r w:rsidR="009B59A0" w:rsidRPr="00A46DC3">
        <w:rPr>
          <w:rFonts w:ascii="Times New Roman" w:hAnsi="Times New Roman" w:cs="Times New Roman"/>
          <w:sz w:val="24"/>
          <w:szCs w:val="24"/>
        </w:rPr>
        <w:t xml:space="preserve"> to </w:t>
      </w:r>
      <w:r w:rsidR="009B59A0" w:rsidRPr="00A46DC3">
        <w:rPr>
          <w:rFonts w:ascii="Times New Roman" w:hAnsi="Times New Roman" w:cs="Times New Roman"/>
          <w:b/>
          <w:bCs/>
          <w:sz w:val="24"/>
          <w:szCs w:val="24"/>
        </w:rPr>
        <w:t>₹2,000 crore in 2024</w:t>
      </w:r>
      <w:r w:rsidR="009B59A0" w:rsidRPr="00A46DC3">
        <w:rPr>
          <w:rFonts w:ascii="Times New Roman" w:hAnsi="Times New Roman" w:cs="Times New Roman"/>
          <w:sz w:val="24"/>
          <w:szCs w:val="24"/>
        </w:rPr>
        <w:t xml:space="preserve">. This indicates that HDFC Bank has been reducing its non-performing loans after accounting for provisions over the years. The </w:t>
      </w:r>
      <w:r w:rsidR="009B59A0" w:rsidRPr="00A46DC3">
        <w:rPr>
          <w:rFonts w:ascii="Times New Roman" w:hAnsi="Times New Roman" w:cs="Times New Roman"/>
          <w:b/>
          <w:bCs/>
          <w:sz w:val="24"/>
          <w:szCs w:val="24"/>
        </w:rPr>
        <w:t>decline in Net NPA</w:t>
      </w:r>
      <w:r w:rsidR="009B59A0" w:rsidRPr="00A46DC3">
        <w:rPr>
          <w:rFonts w:ascii="Times New Roman" w:hAnsi="Times New Roman" w:cs="Times New Roman"/>
          <w:sz w:val="24"/>
          <w:szCs w:val="24"/>
        </w:rPr>
        <w:t xml:space="preserve"> suggests that the bank has been successful in managing its loan portfolio, with effective </w:t>
      </w:r>
      <w:r w:rsidR="009B59A0" w:rsidRPr="00A46DC3">
        <w:rPr>
          <w:rFonts w:ascii="Times New Roman" w:hAnsi="Times New Roman" w:cs="Times New Roman"/>
          <w:b/>
          <w:bCs/>
          <w:sz w:val="24"/>
          <w:szCs w:val="24"/>
        </w:rPr>
        <w:t>provisioning</w:t>
      </w:r>
      <w:r w:rsidR="009B59A0" w:rsidRPr="00A46DC3">
        <w:rPr>
          <w:rFonts w:ascii="Times New Roman" w:hAnsi="Times New Roman" w:cs="Times New Roman"/>
          <w:sz w:val="24"/>
          <w:szCs w:val="24"/>
        </w:rPr>
        <w:t xml:space="preserve"> and </w:t>
      </w:r>
      <w:r w:rsidR="009B59A0" w:rsidRPr="00A46DC3">
        <w:rPr>
          <w:rFonts w:ascii="Times New Roman" w:hAnsi="Times New Roman" w:cs="Times New Roman"/>
          <w:b/>
          <w:bCs/>
          <w:sz w:val="24"/>
          <w:szCs w:val="24"/>
        </w:rPr>
        <w:t>recoveries</w:t>
      </w:r>
      <w:r w:rsidR="009B59A0" w:rsidRPr="00A46DC3">
        <w:rPr>
          <w:rFonts w:ascii="Times New Roman" w:hAnsi="Times New Roman" w:cs="Times New Roman"/>
          <w:sz w:val="24"/>
          <w:szCs w:val="24"/>
        </w:rPr>
        <w:t>. The reduced Net NPA indicates fewer bad loans, improving the overall health of the loan book.</w:t>
      </w:r>
      <w:r w:rsidR="00ED33C7" w:rsidRPr="00A46DC3">
        <w:rPr>
          <w:rFonts w:ascii="Times New Roman" w:eastAsia="Times New Roman" w:hAnsi="Times New Roman" w:cs="Times New Roman"/>
          <w:kern w:val="0"/>
          <w:sz w:val="24"/>
          <w:szCs w:val="24"/>
          <w:lang w:eastAsia="en-GB"/>
          <w14:ligatures w14:val="none"/>
        </w:rPr>
        <w:t xml:space="preserve"> </w:t>
      </w:r>
      <w:r w:rsidR="00ED33C7" w:rsidRPr="00A46DC3">
        <w:rPr>
          <w:rFonts w:ascii="Times New Roman" w:hAnsi="Times New Roman" w:cs="Times New Roman"/>
          <w:b/>
          <w:bCs/>
          <w:sz w:val="24"/>
          <w:szCs w:val="24"/>
        </w:rPr>
        <w:t>Total Advances</w:t>
      </w:r>
      <w:r w:rsidR="00ED33C7" w:rsidRPr="00A46DC3">
        <w:rPr>
          <w:rFonts w:ascii="Times New Roman" w:hAnsi="Times New Roman" w:cs="Times New Roman"/>
          <w:sz w:val="24"/>
          <w:szCs w:val="24"/>
        </w:rPr>
        <w:t xml:space="preserve"> have </w:t>
      </w:r>
      <w:r w:rsidR="00ED33C7" w:rsidRPr="00A46DC3">
        <w:rPr>
          <w:rFonts w:ascii="Times New Roman" w:hAnsi="Times New Roman" w:cs="Times New Roman"/>
          <w:b/>
          <w:bCs/>
          <w:sz w:val="24"/>
          <w:szCs w:val="24"/>
        </w:rPr>
        <w:t>grown significantly</w:t>
      </w:r>
      <w:r w:rsidR="00ED33C7" w:rsidRPr="00A46DC3">
        <w:rPr>
          <w:rFonts w:ascii="Times New Roman" w:hAnsi="Times New Roman" w:cs="Times New Roman"/>
          <w:sz w:val="24"/>
          <w:szCs w:val="24"/>
        </w:rPr>
        <w:t xml:space="preserve"> from </w:t>
      </w:r>
      <w:r w:rsidR="00ED33C7" w:rsidRPr="00A46DC3">
        <w:rPr>
          <w:rFonts w:ascii="Times New Roman" w:hAnsi="Times New Roman" w:cs="Times New Roman"/>
          <w:b/>
          <w:bCs/>
          <w:sz w:val="24"/>
          <w:szCs w:val="24"/>
        </w:rPr>
        <w:t>₹8,19,000 crore in 2019</w:t>
      </w:r>
      <w:r w:rsidR="00ED33C7" w:rsidRPr="00A46DC3">
        <w:rPr>
          <w:rFonts w:ascii="Times New Roman" w:hAnsi="Times New Roman" w:cs="Times New Roman"/>
          <w:sz w:val="24"/>
          <w:szCs w:val="24"/>
        </w:rPr>
        <w:t xml:space="preserve"> to </w:t>
      </w:r>
      <w:r w:rsidR="00ED33C7" w:rsidRPr="00A46DC3">
        <w:rPr>
          <w:rFonts w:ascii="Times New Roman" w:hAnsi="Times New Roman" w:cs="Times New Roman"/>
          <w:b/>
          <w:bCs/>
          <w:sz w:val="24"/>
          <w:szCs w:val="24"/>
        </w:rPr>
        <w:t>₹18,50,000 crore in 2024</w:t>
      </w:r>
      <w:r w:rsidR="00ED33C7" w:rsidRPr="00A46DC3">
        <w:rPr>
          <w:rFonts w:ascii="Times New Roman" w:hAnsi="Times New Roman" w:cs="Times New Roman"/>
          <w:sz w:val="24"/>
          <w:szCs w:val="24"/>
        </w:rPr>
        <w:t xml:space="preserve">. This shows that HDFC Bank has been </w:t>
      </w:r>
      <w:r w:rsidR="00ED33C7" w:rsidRPr="00A46DC3">
        <w:rPr>
          <w:rFonts w:ascii="Times New Roman" w:hAnsi="Times New Roman" w:cs="Times New Roman"/>
          <w:b/>
          <w:bCs/>
          <w:sz w:val="24"/>
          <w:szCs w:val="24"/>
        </w:rPr>
        <w:t>expanding its loan book</w:t>
      </w:r>
      <w:r w:rsidR="00ED33C7" w:rsidRPr="00A46DC3">
        <w:rPr>
          <w:rFonts w:ascii="Times New Roman" w:hAnsi="Times New Roman" w:cs="Times New Roman"/>
          <w:sz w:val="24"/>
          <w:szCs w:val="24"/>
        </w:rPr>
        <w:t xml:space="preserve"> rapidly, indicating a robust growth in lending activities. Even though the </w:t>
      </w:r>
      <w:r w:rsidR="00ED33C7" w:rsidRPr="00A46DC3">
        <w:rPr>
          <w:rFonts w:ascii="Times New Roman" w:hAnsi="Times New Roman" w:cs="Times New Roman"/>
          <w:b/>
          <w:bCs/>
          <w:sz w:val="24"/>
          <w:szCs w:val="24"/>
        </w:rPr>
        <w:t>loan book has grown substantially</w:t>
      </w:r>
      <w:r w:rsidR="00ED33C7" w:rsidRPr="00A46DC3">
        <w:rPr>
          <w:rFonts w:ascii="Times New Roman" w:hAnsi="Times New Roman" w:cs="Times New Roman"/>
          <w:sz w:val="24"/>
          <w:szCs w:val="24"/>
        </w:rPr>
        <w:t xml:space="preserve">, the </w:t>
      </w:r>
      <w:r w:rsidR="00ED33C7" w:rsidRPr="00A46DC3">
        <w:rPr>
          <w:rFonts w:ascii="Times New Roman" w:hAnsi="Times New Roman" w:cs="Times New Roman"/>
          <w:b/>
          <w:bCs/>
          <w:sz w:val="24"/>
          <w:szCs w:val="24"/>
        </w:rPr>
        <w:t>Net NPA</w:t>
      </w:r>
      <w:r w:rsidR="00ED33C7" w:rsidRPr="00A46DC3">
        <w:rPr>
          <w:rFonts w:ascii="Times New Roman" w:hAnsi="Times New Roman" w:cs="Times New Roman"/>
          <w:sz w:val="24"/>
          <w:szCs w:val="24"/>
        </w:rPr>
        <w:t xml:space="preserve"> has continued to decrease, which is a positive sign that the bank is expanding while keeping credit risk low.</w:t>
      </w:r>
      <w:r w:rsidR="00ED33C7" w:rsidRPr="00A46DC3">
        <w:rPr>
          <w:rFonts w:ascii="Times New Roman" w:eastAsia="Times New Roman" w:hAnsi="Times New Roman" w:cs="Times New Roman"/>
          <w:kern w:val="0"/>
          <w:sz w:val="24"/>
          <w:szCs w:val="24"/>
          <w:lang w:eastAsia="en-GB"/>
          <w14:ligatures w14:val="none"/>
        </w:rPr>
        <w:t xml:space="preserve"> </w:t>
      </w:r>
      <w:r w:rsidR="00ED33C7" w:rsidRPr="00A46DC3">
        <w:rPr>
          <w:rFonts w:ascii="Times New Roman" w:hAnsi="Times New Roman" w:cs="Times New Roman"/>
          <w:sz w:val="24"/>
          <w:szCs w:val="24"/>
        </w:rPr>
        <w:t xml:space="preserve">The </w:t>
      </w:r>
      <w:r w:rsidR="00ED33C7" w:rsidRPr="00A46DC3">
        <w:rPr>
          <w:rFonts w:ascii="Times New Roman" w:hAnsi="Times New Roman" w:cs="Times New Roman"/>
          <w:b/>
          <w:bCs/>
          <w:sz w:val="24"/>
          <w:szCs w:val="24"/>
        </w:rPr>
        <w:t>Net NPA Ratio</w:t>
      </w:r>
      <w:r w:rsidR="00ED33C7" w:rsidRPr="00A46DC3">
        <w:rPr>
          <w:rFonts w:ascii="Times New Roman" w:hAnsi="Times New Roman" w:cs="Times New Roman"/>
          <w:sz w:val="24"/>
          <w:szCs w:val="24"/>
        </w:rPr>
        <w:t xml:space="preserve"> has decreased consistently from </w:t>
      </w:r>
      <w:r w:rsidR="00ED33C7" w:rsidRPr="00A46DC3">
        <w:rPr>
          <w:rFonts w:ascii="Times New Roman" w:hAnsi="Times New Roman" w:cs="Times New Roman"/>
          <w:b/>
          <w:bCs/>
          <w:sz w:val="24"/>
          <w:szCs w:val="24"/>
        </w:rPr>
        <w:t>0.533% in 2019</w:t>
      </w:r>
      <w:r w:rsidR="00ED33C7" w:rsidRPr="00A46DC3">
        <w:rPr>
          <w:rFonts w:ascii="Times New Roman" w:hAnsi="Times New Roman" w:cs="Times New Roman"/>
          <w:sz w:val="24"/>
          <w:szCs w:val="24"/>
        </w:rPr>
        <w:t xml:space="preserve"> to </w:t>
      </w:r>
      <w:r w:rsidR="00ED33C7" w:rsidRPr="00A46DC3">
        <w:rPr>
          <w:rFonts w:ascii="Times New Roman" w:hAnsi="Times New Roman" w:cs="Times New Roman"/>
          <w:b/>
          <w:bCs/>
          <w:sz w:val="24"/>
          <w:szCs w:val="24"/>
        </w:rPr>
        <w:t>0.108% in 2024</w:t>
      </w:r>
      <w:r w:rsidR="00ED33C7" w:rsidRPr="00A46DC3">
        <w:rPr>
          <w:rFonts w:ascii="Times New Roman" w:hAnsi="Times New Roman" w:cs="Times New Roman"/>
          <w:sz w:val="24"/>
          <w:szCs w:val="24"/>
        </w:rPr>
        <w:t xml:space="preserve">. This indicates that, even though the bank’s loan portfolio has expanded, the proportion of </w:t>
      </w:r>
      <w:r w:rsidR="00ED33C7" w:rsidRPr="00A46DC3">
        <w:rPr>
          <w:rFonts w:ascii="Times New Roman" w:hAnsi="Times New Roman" w:cs="Times New Roman"/>
          <w:b/>
          <w:bCs/>
          <w:sz w:val="24"/>
          <w:szCs w:val="24"/>
        </w:rPr>
        <w:t>non-performing loans</w:t>
      </w:r>
      <w:r w:rsidR="00ED33C7" w:rsidRPr="00A46DC3">
        <w:rPr>
          <w:rFonts w:ascii="Times New Roman" w:hAnsi="Times New Roman" w:cs="Times New Roman"/>
          <w:sz w:val="24"/>
          <w:szCs w:val="24"/>
        </w:rPr>
        <w:t xml:space="preserve"> has fallen drastically. A </w:t>
      </w:r>
      <w:r w:rsidR="00ED33C7" w:rsidRPr="00A46DC3">
        <w:rPr>
          <w:rFonts w:ascii="Times New Roman" w:hAnsi="Times New Roman" w:cs="Times New Roman"/>
          <w:b/>
          <w:bCs/>
          <w:sz w:val="24"/>
          <w:szCs w:val="24"/>
        </w:rPr>
        <w:t>Net NPA Ratio</w:t>
      </w:r>
      <w:r w:rsidR="00ED33C7" w:rsidRPr="00A46DC3">
        <w:rPr>
          <w:rFonts w:ascii="Times New Roman" w:hAnsi="Times New Roman" w:cs="Times New Roman"/>
          <w:sz w:val="24"/>
          <w:szCs w:val="24"/>
        </w:rPr>
        <w:t xml:space="preserve"> of </w:t>
      </w:r>
      <w:r w:rsidR="00ED33C7" w:rsidRPr="00A46DC3">
        <w:rPr>
          <w:rFonts w:ascii="Times New Roman" w:hAnsi="Times New Roman" w:cs="Times New Roman"/>
          <w:b/>
          <w:bCs/>
          <w:sz w:val="24"/>
          <w:szCs w:val="24"/>
        </w:rPr>
        <w:t>0.108%</w:t>
      </w:r>
      <w:r w:rsidR="00ED33C7" w:rsidRPr="00A46DC3">
        <w:rPr>
          <w:rFonts w:ascii="Times New Roman" w:hAnsi="Times New Roman" w:cs="Times New Roman"/>
          <w:sz w:val="24"/>
          <w:szCs w:val="24"/>
        </w:rPr>
        <w:t xml:space="preserve"> in </w:t>
      </w:r>
      <w:r w:rsidR="00ED33C7" w:rsidRPr="00A46DC3">
        <w:rPr>
          <w:rFonts w:ascii="Times New Roman" w:hAnsi="Times New Roman" w:cs="Times New Roman"/>
          <w:b/>
          <w:bCs/>
          <w:sz w:val="24"/>
          <w:szCs w:val="24"/>
        </w:rPr>
        <w:t>2024</w:t>
      </w:r>
      <w:r w:rsidR="00ED33C7" w:rsidRPr="00A46DC3">
        <w:rPr>
          <w:rFonts w:ascii="Times New Roman" w:hAnsi="Times New Roman" w:cs="Times New Roman"/>
          <w:sz w:val="24"/>
          <w:szCs w:val="24"/>
        </w:rPr>
        <w:t xml:space="preserve"> is exceptionally low, suggesting that the bank has successfully </w:t>
      </w:r>
      <w:r w:rsidR="00ED33C7" w:rsidRPr="00A46DC3">
        <w:rPr>
          <w:rFonts w:ascii="Times New Roman" w:hAnsi="Times New Roman" w:cs="Times New Roman"/>
          <w:b/>
          <w:bCs/>
          <w:sz w:val="24"/>
          <w:szCs w:val="24"/>
        </w:rPr>
        <w:t>minimized bad loans</w:t>
      </w:r>
      <w:r w:rsidR="00ED33C7" w:rsidRPr="00A46DC3">
        <w:rPr>
          <w:rFonts w:ascii="Times New Roman" w:hAnsi="Times New Roman" w:cs="Times New Roman"/>
          <w:sz w:val="24"/>
          <w:szCs w:val="24"/>
        </w:rPr>
        <w:t xml:space="preserve"> and is managing credit risk very effectively.</w:t>
      </w:r>
    </w:p>
    <w:p w14:paraId="0324517C" w14:textId="31296EE1" w:rsidR="001A0696" w:rsidRPr="00A46DC3" w:rsidRDefault="001A0696" w:rsidP="001A0696">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11</w:t>
      </w:r>
      <w:r w:rsidR="00360E6A" w:rsidRPr="00A46DC3">
        <w:rPr>
          <w:rFonts w:ascii="Times New Roman" w:hAnsi="Times New Roman" w:cs="Times New Roman"/>
          <w:b/>
          <w:bCs/>
          <w:sz w:val="24"/>
          <w:szCs w:val="24"/>
        </w:rPr>
        <w:t xml:space="preserve"> </w:t>
      </w:r>
      <w:r w:rsidRPr="00A46DC3">
        <w:rPr>
          <w:rFonts w:ascii="Times New Roman" w:hAnsi="Times New Roman" w:cs="Times New Roman"/>
          <w:b/>
          <w:bCs/>
          <w:sz w:val="24"/>
          <w:szCs w:val="24"/>
        </w:rPr>
        <w:t>Capital Adequacy Ratio</w:t>
      </w:r>
    </w:p>
    <w:p w14:paraId="2356BBBE" w14:textId="4019701A" w:rsidR="001A0696" w:rsidRPr="00A46DC3" w:rsidRDefault="001A0696" w:rsidP="001A0696">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11</w:t>
      </w:r>
      <w:r w:rsidRPr="00A46DC3">
        <w:rPr>
          <w:rFonts w:ascii="Times New Roman" w:hAnsi="Times New Roman" w:cs="Times New Roman"/>
          <w:b/>
          <w:bCs/>
          <w:sz w:val="24"/>
          <w:szCs w:val="24"/>
        </w:rPr>
        <w:t xml:space="preserve">: Showing the Capital Adequacy Ratio of </w:t>
      </w:r>
      <w:r w:rsidR="005446CE" w:rsidRPr="00A46DC3">
        <w:rPr>
          <w:rFonts w:ascii="Times New Roman" w:hAnsi="Times New Roman" w:cs="Times New Roman"/>
          <w:b/>
          <w:bCs/>
          <w:sz w:val="24"/>
          <w:szCs w:val="24"/>
        </w:rPr>
        <w:t>HDFC Bank</w:t>
      </w:r>
    </w:p>
    <w:tbl>
      <w:tblPr>
        <w:tblStyle w:val="TableGrid"/>
        <w:tblW w:w="0" w:type="auto"/>
        <w:tblLook w:val="04A0" w:firstRow="1" w:lastRow="0" w:firstColumn="1" w:lastColumn="0" w:noHBand="0" w:noVBand="1"/>
      </w:tblPr>
      <w:tblGrid>
        <w:gridCol w:w="4499"/>
        <w:gridCol w:w="4517"/>
      </w:tblGrid>
      <w:tr w:rsidR="001A0696" w:rsidRPr="00A46DC3" w14:paraId="3F51F058" w14:textId="77777777" w:rsidTr="00BF2D25">
        <w:tc>
          <w:tcPr>
            <w:tcW w:w="4499" w:type="dxa"/>
          </w:tcPr>
          <w:p w14:paraId="516D3C9E" w14:textId="77777777" w:rsidR="001A0696" w:rsidRPr="00A46DC3" w:rsidRDefault="001A0696"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YEAR</w:t>
            </w:r>
          </w:p>
        </w:tc>
        <w:tc>
          <w:tcPr>
            <w:tcW w:w="4517" w:type="dxa"/>
          </w:tcPr>
          <w:p w14:paraId="66BB6D03" w14:textId="77777777" w:rsidR="001A0696" w:rsidRPr="00A46DC3" w:rsidRDefault="001A0696" w:rsidP="00EA1655">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CAPITAL ADEQUACY RATIO</w:t>
            </w:r>
          </w:p>
        </w:tc>
      </w:tr>
      <w:tr w:rsidR="001A0696" w:rsidRPr="00A46DC3" w14:paraId="04023570" w14:textId="77777777" w:rsidTr="00BF2D25">
        <w:tc>
          <w:tcPr>
            <w:tcW w:w="4499" w:type="dxa"/>
          </w:tcPr>
          <w:p w14:paraId="457E3B28" w14:textId="77777777"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2019</w:t>
            </w:r>
          </w:p>
        </w:tc>
        <w:tc>
          <w:tcPr>
            <w:tcW w:w="4517" w:type="dxa"/>
          </w:tcPr>
          <w:p w14:paraId="16B0498C" w14:textId="2AD65917" w:rsidR="001A0696" w:rsidRPr="00A46DC3" w:rsidRDefault="00D927C8"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17.10%</w:t>
            </w:r>
          </w:p>
        </w:tc>
      </w:tr>
      <w:tr w:rsidR="001A0696" w:rsidRPr="00A46DC3" w14:paraId="568E31F5" w14:textId="77777777" w:rsidTr="00BF2D25">
        <w:tc>
          <w:tcPr>
            <w:tcW w:w="4499" w:type="dxa"/>
          </w:tcPr>
          <w:p w14:paraId="63C8B84B" w14:textId="77777777"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2020</w:t>
            </w:r>
          </w:p>
        </w:tc>
        <w:tc>
          <w:tcPr>
            <w:tcW w:w="4517" w:type="dxa"/>
          </w:tcPr>
          <w:p w14:paraId="2652EE56" w14:textId="448919B3" w:rsidR="001A0696" w:rsidRPr="00A46DC3" w:rsidRDefault="0099631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18.50%</w:t>
            </w:r>
          </w:p>
        </w:tc>
      </w:tr>
      <w:tr w:rsidR="001A0696" w:rsidRPr="00A46DC3" w14:paraId="03B2EFF9" w14:textId="77777777" w:rsidTr="00BF2D25">
        <w:tc>
          <w:tcPr>
            <w:tcW w:w="4499" w:type="dxa"/>
          </w:tcPr>
          <w:p w14:paraId="281F603E" w14:textId="77777777"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2021</w:t>
            </w:r>
          </w:p>
        </w:tc>
        <w:tc>
          <w:tcPr>
            <w:tcW w:w="4517" w:type="dxa"/>
          </w:tcPr>
          <w:p w14:paraId="56BBF500" w14:textId="5CC39D05" w:rsidR="001A0696" w:rsidRPr="00A46DC3" w:rsidRDefault="0099631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19.30%</w:t>
            </w:r>
          </w:p>
        </w:tc>
      </w:tr>
      <w:tr w:rsidR="001A0696" w:rsidRPr="00A46DC3" w14:paraId="38E8D2FC" w14:textId="77777777" w:rsidTr="00BF2D25">
        <w:tc>
          <w:tcPr>
            <w:tcW w:w="4499" w:type="dxa"/>
          </w:tcPr>
          <w:p w14:paraId="02ACD750" w14:textId="77777777"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2022</w:t>
            </w:r>
          </w:p>
        </w:tc>
        <w:tc>
          <w:tcPr>
            <w:tcW w:w="4517" w:type="dxa"/>
          </w:tcPr>
          <w:p w14:paraId="3BCCBFDA" w14:textId="44CA875E" w:rsidR="001A0696" w:rsidRPr="00A46DC3" w:rsidRDefault="0099631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18.90%</w:t>
            </w:r>
          </w:p>
        </w:tc>
      </w:tr>
      <w:tr w:rsidR="001A0696" w:rsidRPr="00A46DC3" w14:paraId="3318BF3C" w14:textId="77777777" w:rsidTr="00BF2D25">
        <w:tc>
          <w:tcPr>
            <w:tcW w:w="4499" w:type="dxa"/>
          </w:tcPr>
          <w:p w14:paraId="56F2CE49" w14:textId="77777777"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2023</w:t>
            </w:r>
          </w:p>
        </w:tc>
        <w:tc>
          <w:tcPr>
            <w:tcW w:w="4517" w:type="dxa"/>
          </w:tcPr>
          <w:p w14:paraId="3BE09DF6" w14:textId="7A92EEB9" w:rsidR="001A0696" w:rsidRPr="00A46DC3" w:rsidRDefault="0099631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19.30%</w:t>
            </w:r>
          </w:p>
        </w:tc>
      </w:tr>
      <w:tr w:rsidR="001A0696" w:rsidRPr="00A46DC3" w14:paraId="68A151FF" w14:textId="77777777" w:rsidTr="00BF2D25">
        <w:tc>
          <w:tcPr>
            <w:tcW w:w="4499" w:type="dxa"/>
          </w:tcPr>
          <w:p w14:paraId="576D249B" w14:textId="1801236A" w:rsidR="001A0696" w:rsidRPr="00A46DC3" w:rsidRDefault="001A0696"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2024</w:t>
            </w:r>
          </w:p>
        </w:tc>
        <w:tc>
          <w:tcPr>
            <w:tcW w:w="4517" w:type="dxa"/>
          </w:tcPr>
          <w:p w14:paraId="112236E9" w14:textId="3BEDCD65" w:rsidR="001A0696" w:rsidRPr="00A46DC3" w:rsidRDefault="0099631E"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18.80%</w:t>
            </w:r>
          </w:p>
        </w:tc>
      </w:tr>
    </w:tbl>
    <w:p w14:paraId="56495019" w14:textId="77777777" w:rsidR="00BF2D25" w:rsidRPr="00A46DC3" w:rsidRDefault="00BF2D25" w:rsidP="00BF2D25">
      <w:pPr>
        <w:tabs>
          <w:tab w:val="left" w:pos="5304"/>
        </w:tabs>
        <w:rPr>
          <w:rFonts w:ascii="Times New Roman" w:hAnsi="Times New Roman" w:cs="Times New Roman"/>
          <w:b/>
          <w:bCs/>
          <w:sz w:val="24"/>
          <w:szCs w:val="24"/>
        </w:rPr>
      </w:pPr>
    </w:p>
    <w:p w14:paraId="0FD39D2C" w14:textId="4B640AF2" w:rsidR="001A0696" w:rsidRPr="00A46DC3" w:rsidRDefault="00BF2D25" w:rsidP="00BF2D25">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4.11: Showing the Capital Adequacy Ratio of HDFC Bank</w:t>
      </w:r>
    </w:p>
    <w:p w14:paraId="4603A58D" w14:textId="7FA64FA2" w:rsidR="00FE02CE" w:rsidRPr="00A46DC3" w:rsidRDefault="00FE02CE" w:rsidP="001A0696">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2A49E839" wp14:editId="705E9B9C">
            <wp:extent cx="4572000" cy="2743200"/>
            <wp:effectExtent l="0" t="0" r="0" b="0"/>
            <wp:docPr id="1869482070" name="Chart 1">
              <a:extLst xmlns:a="http://schemas.openxmlformats.org/drawingml/2006/main">
                <a:ext uri="{FF2B5EF4-FFF2-40B4-BE49-F238E27FC236}">
                  <a16:creationId xmlns:a16="http://schemas.microsoft.com/office/drawing/2014/main" id="{CAD0D7CC-AA96-0517-01E0-BBB07E809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4AF5B164" w14:textId="32540E12" w:rsidR="00FE02CE" w:rsidRPr="00A46DC3" w:rsidRDefault="00470DE3" w:rsidP="000E677F">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The </w:t>
      </w:r>
      <w:r w:rsidRPr="00A46DC3">
        <w:rPr>
          <w:rFonts w:ascii="Times New Roman" w:hAnsi="Times New Roman" w:cs="Times New Roman"/>
          <w:b/>
          <w:bCs/>
          <w:sz w:val="24"/>
          <w:szCs w:val="24"/>
        </w:rPr>
        <w:t>Capital Adequacy Ratio</w:t>
      </w:r>
      <w:r w:rsidRPr="00A46DC3">
        <w:rPr>
          <w:rFonts w:ascii="Times New Roman" w:hAnsi="Times New Roman" w:cs="Times New Roman"/>
          <w:sz w:val="24"/>
          <w:szCs w:val="24"/>
        </w:rPr>
        <w:t xml:space="preserve"> has consistently been </w:t>
      </w:r>
      <w:r w:rsidRPr="00A46DC3">
        <w:rPr>
          <w:rFonts w:ascii="Times New Roman" w:hAnsi="Times New Roman" w:cs="Times New Roman"/>
          <w:b/>
          <w:bCs/>
          <w:sz w:val="24"/>
          <w:szCs w:val="24"/>
        </w:rPr>
        <w:t>well above the regulatory minimum requirement</w:t>
      </w:r>
      <w:r w:rsidRPr="00A46DC3">
        <w:rPr>
          <w:rFonts w:ascii="Times New Roman" w:hAnsi="Times New Roman" w:cs="Times New Roman"/>
          <w:sz w:val="24"/>
          <w:szCs w:val="24"/>
        </w:rPr>
        <w:t xml:space="preserve"> (usually around </w:t>
      </w:r>
      <w:r w:rsidRPr="00A46DC3">
        <w:rPr>
          <w:rFonts w:ascii="Times New Roman" w:hAnsi="Times New Roman" w:cs="Times New Roman"/>
          <w:b/>
          <w:bCs/>
          <w:sz w:val="24"/>
          <w:szCs w:val="24"/>
        </w:rPr>
        <w:t>8%</w:t>
      </w:r>
      <w:r w:rsidRPr="00A46DC3">
        <w:rPr>
          <w:rFonts w:ascii="Times New Roman" w:hAnsi="Times New Roman" w:cs="Times New Roman"/>
          <w:sz w:val="24"/>
          <w:szCs w:val="24"/>
        </w:rPr>
        <w:t xml:space="preserve"> in most countries, and generally higher for systemically important banks). HDFC Bank's </w:t>
      </w:r>
      <w:r w:rsidRPr="00A46DC3">
        <w:rPr>
          <w:rFonts w:ascii="Times New Roman" w:hAnsi="Times New Roman" w:cs="Times New Roman"/>
          <w:b/>
          <w:bCs/>
          <w:sz w:val="24"/>
          <w:szCs w:val="24"/>
        </w:rPr>
        <w:t>CAR</w:t>
      </w:r>
      <w:r w:rsidRPr="00A46DC3">
        <w:rPr>
          <w:rFonts w:ascii="Times New Roman" w:hAnsi="Times New Roman" w:cs="Times New Roman"/>
          <w:sz w:val="24"/>
          <w:szCs w:val="24"/>
        </w:rPr>
        <w:t xml:space="preserve"> has been consistently above </w:t>
      </w:r>
      <w:r w:rsidRPr="00A46DC3">
        <w:rPr>
          <w:rFonts w:ascii="Times New Roman" w:hAnsi="Times New Roman" w:cs="Times New Roman"/>
          <w:b/>
          <w:bCs/>
          <w:sz w:val="24"/>
          <w:szCs w:val="24"/>
        </w:rPr>
        <w:t>17%</w:t>
      </w:r>
      <w:r w:rsidRPr="00A46DC3">
        <w:rPr>
          <w:rFonts w:ascii="Times New Roman" w:hAnsi="Times New Roman" w:cs="Times New Roman"/>
          <w:sz w:val="24"/>
          <w:szCs w:val="24"/>
        </w:rPr>
        <w:t xml:space="preserve"> over the past five years, with the highest point in </w:t>
      </w:r>
      <w:r w:rsidRPr="00A46DC3">
        <w:rPr>
          <w:rFonts w:ascii="Times New Roman" w:hAnsi="Times New Roman" w:cs="Times New Roman"/>
          <w:b/>
          <w:bCs/>
          <w:sz w:val="24"/>
          <w:szCs w:val="24"/>
        </w:rPr>
        <w:t>2021</w:t>
      </w:r>
      <w:r w:rsidRPr="00A46DC3">
        <w:rPr>
          <w:rFonts w:ascii="Times New Roman" w:hAnsi="Times New Roman" w:cs="Times New Roman"/>
          <w:sz w:val="24"/>
          <w:szCs w:val="24"/>
        </w:rPr>
        <w:t xml:space="preserve"> at </w:t>
      </w:r>
      <w:r w:rsidRPr="00A46DC3">
        <w:rPr>
          <w:rFonts w:ascii="Times New Roman" w:hAnsi="Times New Roman" w:cs="Times New Roman"/>
          <w:b/>
          <w:bCs/>
          <w:sz w:val="24"/>
          <w:szCs w:val="24"/>
        </w:rPr>
        <w:t>19.30%</w:t>
      </w:r>
      <w:r w:rsidRPr="00A46DC3">
        <w:rPr>
          <w:rFonts w:ascii="Times New Roman" w:hAnsi="Times New Roman" w:cs="Times New Roman"/>
          <w:sz w:val="24"/>
          <w:szCs w:val="24"/>
        </w:rPr>
        <w:t xml:space="preserve">. This indicates that the bank has a </w:t>
      </w:r>
      <w:r w:rsidRPr="00A46DC3">
        <w:rPr>
          <w:rFonts w:ascii="Times New Roman" w:hAnsi="Times New Roman" w:cs="Times New Roman"/>
          <w:b/>
          <w:bCs/>
          <w:sz w:val="24"/>
          <w:szCs w:val="24"/>
        </w:rPr>
        <w:t>strong capital base</w:t>
      </w:r>
      <w:r w:rsidRPr="00A46DC3">
        <w:rPr>
          <w:rFonts w:ascii="Times New Roman" w:hAnsi="Times New Roman" w:cs="Times New Roman"/>
          <w:sz w:val="24"/>
          <w:szCs w:val="24"/>
        </w:rPr>
        <w:t xml:space="preserve"> and is able to absorb shocks from financial risks, economic downturns, or unexpected losses.</w:t>
      </w:r>
      <w:r w:rsidR="000E677F" w:rsidRPr="00A46DC3">
        <w:rPr>
          <w:rFonts w:ascii="Times New Roman" w:hAnsi="Times New Roman" w:cs="Times New Roman"/>
          <w:sz w:val="24"/>
          <w:szCs w:val="24"/>
        </w:rPr>
        <w:t xml:space="preserve"> The </w:t>
      </w:r>
      <w:r w:rsidR="000E677F" w:rsidRPr="00A46DC3">
        <w:rPr>
          <w:rFonts w:ascii="Times New Roman" w:hAnsi="Times New Roman" w:cs="Times New Roman"/>
          <w:b/>
          <w:bCs/>
          <w:sz w:val="24"/>
          <w:szCs w:val="24"/>
        </w:rPr>
        <w:t>CAR</w:t>
      </w:r>
      <w:r w:rsidR="000E677F" w:rsidRPr="00A46DC3">
        <w:rPr>
          <w:rFonts w:ascii="Times New Roman" w:hAnsi="Times New Roman" w:cs="Times New Roman"/>
          <w:sz w:val="24"/>
          <w:szCs w:val="24"/>
        </w:rPr>
        <w:t xml:space="preserve"> saw an </w:t>
      </w:r>
      <w:r w:rsidR="000E677F" w:rsidRPr="00A46DC3">
        <w:rPr>
          <w:rFonts w:ascii="Times New Roman" w:hAnsi="Times New Roman" w:cs="Times New Roman"/>
          <w:b/>
          <w:bCs/>
          <w:sz w:val="24"/>
          <w:szCs w:val="24"/>
        </w:rPr>
        <w:t>increase from 17.10% in 2019</w:t>
      </w:r>
      <w:r w:rsidR="000E677F" w:rsidRPr="00A46DC3">
        <w:rPr>
          <w:rFonts w:ascii="Times New Roman" w:hAnsi="Times New Roman" w:cs="Times New Roman"/>
          <w:sz w:val="24"/>
          <w:szCs w:val="24"/>
        </w:rPr>
        <w:t xml:space="preserve"> to </w:t>
      </w:r>
      <w:r w:rsidR="000E677F" w:rsidRPr="00A46DC3">
        <w:rPr>
          <w:rFonts w:ascii="Times New Roman" w:hAnsi="Times New Roman" w:cs="Times New Roman"/>
          <w:b/>
          <w:bCs/>
          <w:sz w:val="24"/>
          <w:szCs w:val="24"/>
        </w:rPr>
        <w:t>19.30% in 2021</w:t>
      </w:r>
      <w:r w:rsidR="000E677F" w:rsidRPr="00A46DC3">
        <w:rPr>
          <w:rFonts w:ascii="Times New Roman" w:hAnsi="Times New Roman" w:cs="Times New Roman"/>
          <w:sz w:val="24"/>
          <w:szCs w:val="24"/>
        </w:rPr>
        <w:t xml:space="preserve">, indicating that HDFC Bank was building up its capital and strengthening its buffer against potential financial stress during this period. This could be due to </w:t>
      </w:r>
      <w:r w:rsidR="000E677F" w:rsidRPr="00A46DC3">
        <w:rPr>
          <w:rFonts w:ascii="Times New Roman" w:hAnsi="Times New Roman" w:cs="Times New Roman"/>
          <w:b/>
          <w:bCs/>
          <w:sz w:val="24"/>
          <w:szCs w:val="24"/>
        </w:rPr>
        <w:t>strong profits</w:t>
      </w:r>
      <w:r w:rsidR="000E677F" w:rsidRPr="00A46DC3">
        <w:rPr>
          <w:rFonts w:ascii="Times New Roman" w:hAnsi="Times New Roman" w:cs="Times New Roman"/>
          <w:sz w:val="24"/>
          <w:szCs w:val="24"/>
        </w:rPr>
        <w:t xml:space="preserve"> or an </w:t>
      </w:r>
      <w:r w:rsidR="000E677F" w:rsidRPr="00A46DC3">
        <w:rPr>
          <w:rFonts w:ascii="Times New Roman" w:hAnsi="Times New Roman" w:cs="Times New Roman"/>
          <w:b/>
          <w:bCs/>
          <w:sz w:val="24"/>
          <w:szCs w:val="24"/>
        </w:rPr>
        <w:t>increase in equity capital</w:t>
      </w:r>
      <w:r w:rsidR="000E677F" w:rsidRPr="00A46DC3">
        <w:rPr>
          <w:rFonts w:ascii="Times New Roman" w:hAnsi="Times New Roman" w:cs="Times New Roman"/>
          <w:sz w:val="24"/>
          <w:szCs w:val="24"/>
        </w:rPr>
        <w:t xml:space="preserve">. From </w:t>
      </w:r>
      <w:r w:rsidR="000E677F" w:rsidRPr="00A46DC3">
        <w:rPr>
          <w:rFonts w:ascii="Times New Roman" w:hAnsi="Times New Roman" w:cs="Times New Roman"/>
          <w:b/>
          <w:bCs/>
          <w:sz w:val="24"/>
          <w:szCs w:val="24"/>
        </w:rPr>
        <w:t>2022</w:t>
      </w:r>
      <w:r w:rsidR="000E677F" w:rsidRPr="00A46DC3">
        <w:rPr>
          <w:rFonts w:ascii="Times New Roman" w:hAnsi="Times New Roman" w:cs="Times New Roman"/>
          <w:sz w:val="24"/>
          <w:szCs w:val="24"/>
        </w:rPr>
        <w:t xml:space="preserve"> onwards, the </w:t>
      </w:r>
      <w:r w:rsidR="000E677F" w:rsidRPr="00A46DC3">
        <w:rPr>
          <w:rFonts w:ascii="Times New Roman" w:hAnsi="Times New Roman" w:cs="Times New Roman"/>
          <w:b/>
          <w:bCs/>
          <w:sz w:val="24"/>
          <w:szCs w:val="24"/>
        </w:rPr>
        <w:t>CAR</w:t>
      </w:r>
      <w:r w:rsidR="000E677F" w:rsidRPr="00A46DC3">
        <w:rPr>
          <w:rFonts w:ascii="Times New Roman" w:hAnsi="Times New Roman" w:cs="Times New Roman"/>
          <w:sz w:val="24"/>
          <w:szCs w:val="24"/>
        </w:rPr>
        <w:t xml:space="preserve"> has remained relatively stable, fluctuating between </w:t>
      </w:r>
      <w:r w:rsidR="000E677F" w:rsidRPr="00A46DC3">
        <w:rPr>
          <w:rFonts w:ascii="Times New Roman" w:hAnsi="Times New Roman" w:cs="Times New Roman"/>
          <w:b/>
          <w:bCs/>
          <w:sz w:val="24"/>
          <w:szCs w:val="24"/>
        </w:rPr>
        <w:t>18.80%</w:t>
      </w:r>
      <w:r w:rsidR="000E677F" w:rsidRPr="00A46DC3">
        <w:rPr>
          <w:rFonts w:ascii="Times New Roman" w:hAnsi="Times New Roman" w:cs="Times New Roman"/>
          <w:sz w:val="24"/>
          <w:szCs w:val="24"/>
        </w:rPr>
        <w:t xml:space="preserve"> and </w:t>
      </w:r>
      <w:r w:rsidR="000E677F" w:rsidRPr="00A46DC3">
        <w:rPr>
          <w:rFonts w:ascii="Times New Roman" w:hAnsi="Times New Roman" w:cs="Times New Roman"/>
          <w:b/>
          <w:bCs/>
          <w:sz w:val="24"/>
          <w:szCs w:val="24"/>
        </w:rPr>
        <w:t>19.30%</w:t>
      </w:r>
      <w:r w:rsidR="000E677F" w:rsidRPr="00A46DC3">
        <w:rPr>
          <w:rFonts w:ascii="Times New Roman" w:hAnsi="Times New Roman" w:cs="Times New Roman"/>
          <w:sz w:val="24"/>
          <w:szCs w:val="24"/>
        </w:rPr>
        <w:t xml:space="preserve">. This suggests that while HDFC Bank has maintained a strong capital position, it might not have needed to raise additional capital aggressively due to </w:t>
      </w:r>
      <w:r w:rsidR="000E677F" w:rsidRPr="00A46DC3">
        <w:rPr>
          <w:rFonts w:ascii="Times New Roman" w:hAnsi="Times New Roman" w:cs="Times New Roman"/>
          <w:b/>
          <w:bCs/>
          <w:sz w:val="24"/>
          <w:szCs w:val="24"/>
        </w:rPr>
        <w:t>healthy profit generation</w:t>
      </w:r>
      <w:r w:rsidR="000E677F" w:rsidRPr="00A46DC3">
        <w:rPr>
          <w:rFonts w:ascii="Times New Roman" w:hAnsi="Times New Roman" w:cs="Times New Roman"/>
          <w:sz w:val="24"/>
          <w:szCs w:val="24"/>
        </w:rPr>
        <w:t xml:space="preserve"> or efficient </w:t>
      </w:r>
      <w:r w:rsidR="000E677F" w:rsidRPr="00A46DC3">
        <w:rPr>
          <w:rFonts w:ascii="Times New Roman" w:hAnsi="Times New Roman" w:cs="Times New Roman"/>
          <w:b/>
          <w:bCs/>
          <w:sz w:val="24"/>
          <w:szCs w:val="24"/>
        </w:rPr>
        <w:t>capital management</w:t>
      </w:r>
      <w:r w:rsidR="000E677F" w:rsidRPr="00A46DC3">
        <w:rPr>
          <w:rFonts w:ascii="Times New Roman" w:hAnsi="Times New Roman" w:cs="Times New Roman"/>
          <w:sz w:val="24"/>
          <w:szCs w:val="24"/>
        </w:rPr>
        <w:t>.</w:t>
      </w:r>
    </w:p>
    <w:p w14:paraId="6228CC23" w14:textId="17BABE74" w:rsidR="001C09C7" w:rsidRPr="00A46DC3" w:rsidRDefault="001C09C7" w:rsidP="001C09C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w:t>
      </w:r>
      <w:r w:rsidR="00D91457" w:rsidRPr="00A46DC3">
        <w:rPr>
          <w:rFonts w:ascii="Times New Roman" w:hAnsi="Times New Roman" w:cs="Times New Roman"/>
          <w:b/>
          <w:bCs/>
          <w:sz w:val="24"/>
          <w:szCs w:val="24"/>
        </w:rPr>
        <w:t>12</w:t>
      </w:r>
      <w:r w:rsidRPr="00A46DC3">
        <w:rPr>
          <w:rFonts w:ascii="Times New Roman" w:hAnsi="Times New Roman" w:cs="Times New Roman"/>
          <w:b/>
          <w:bCs/>
          <w:sz w:val="24"/>
          <w:szCs w:val="24"/>
        </w:rPr>
        <w:t xml:space="preserve"> Movement of Gross NPA and Net NPA:</w:t>
      </w:r>
    </w:p>
    <w:p w14:paraId="522C48A2" w14:textId="27BAF236" w:rsidR="001C09C7" w:rsidRPr="00A46DC3" w:rsidRDefault="001C09C7" w:rsidP="001C09C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Table 4.</w:t>
      </w:r>
      <w:r w:rsidR="00D91457" w:rsidRPr="00A46DC3">
        <w:rPr>
          <w:rFonts w:ascii="Times New Roman" w:hAnsi="Times New Roman" w:cs="Times New Roman"/>
          <w:b/>
          <w:bCs/>
          <w:sz w:val="24"/>
          <w:szCs w:val="24"/>
        </w:rPr>
        <w:t>12</w:t>
      </w:r>
      <w:r w:rsidRPr="00A46DC3">
        <w:rPr>
          <w:rFonts w:ascii="Times New Roman" w:hAnsi="Times New Roman" w:cs="Times New Roman"/>
          <w:b/>
          <w:bCs/>
          <w:sz w:val="24"/>
          <w:szCs w:val="24"/>
        </w:rPr>
        <w:t>: Showing the comparison of Gross NPA and Net NPA of HDFC Bank (Rs. in cr)</w:t>
      </w:r>
    </w:p>
    <w:tbl>
      <w:tblPr>
        <w:tblStyle w:val="TableGrid"/>
        <w:tblW w:w="0" w:type="auto"/>
        <w:tblLook w:val="04A0" w:firstRow="1" w:lastRow="0" w:firstColumn="1" w:lastColumn="0" w:noHBand="0" w:noVBand="1"/>
      </w:tblPr>
      <w:tblGrid>
        <w:gridCol w:w="3000"/>
        <w:gridCol w:w="3008"/>
        <w:gridCol w:w="3008"/>
      </w:tblGrid>
      <w:tr w:rsidR="001C09C7" w:rsidRPr="00A46DC3" w14:paraId="18B1CF85" w14:textId="77777777" w:rsidTr="00EA1655">
        <w:tc>
          <w:tcPr>
            <w:tcW w:w="3080" w:type="dxa"/>
          </w:tcPr>
          <w:p w14:paraId="07EB5A9A"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YEAR</w:t>
            </w:r>
          </w:p>
        </w:tc>
        <w:tc>
          <w:tcPr>
            <w:tcW w:w="3081" w:type="dxa"/>
          </w:tcPr>
          <w:p w14:paraId="6AFF8110"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Gross NPA</w:t>
            </w:r>
          </w:p>
        </w:tc>
        <w:tc>
          <w:tcPr>
            <w:tcW w:w="3081" w:type="dxa"/>
          </w:tcPr>
          <w:p w14:paraId="670728B7"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Net NPA</w:t>
            </w:r>
          </w:p>
        </w:tc>
      </w:tr>
      <w:tr w:rsidR="001C09C7" w:rsidRPr="00A46DC3" w14:paraId="60D1137E" w14:textId="77777777" w:rsidTr="00EA1655">
        <w:tc>
          <w:tcPr>
            <w:tcW w:w="3080" w:type="dxa"/>
          </w:tcPr>
          <w:p w14:paraId="7872EF63"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2019</w:t>
            </w:r>
          </w:p>
        </w:tc>
        <w:tc>
          <w:tcPr>
            <w:tcW w:w="3081" w:type="dxa"/>
          </w:tcPr>
          <w:p w14:paraId="6C56B381"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8,091.74</w:t>
            </w:r>
          </w:p>
        </w:tc>
        <w:tc>
          <w:tcPr>
            <w:tcW w:w="3081" w:type="dxa"/>
          </w:tcPr>
          <w:p w14:paraId="55315685"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4,368.43</w:t>
            </w:r>
          </w:p>
        </w:tc>
      </w:tr>
      <w:tr w:rsidR="001C09C7" w:rsidRPr="00A46DC3" w14:paraId="794A2D08" w14:textId="77777777" w:rsidTr="00EA1655">
        <w:tc>
          <w:tcPr>
            <w:tcW w:w="3080" w:type="dxa"/>
          </w:tcPr>
          <w:p w14:paraId="4FE5A72F"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2020</w:t>
            </w:r>
          </w:p>
        </w:tc>
        <w:tc>
          <w:tcPr>
            <w:tcW w:w="3081" w:type="dxa"/>
          </w:tcPr>
          <w:p w14:paraId="384B8AD2"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7,500.00</w:t>
            </w:r>
          </w:p>
        </w:tc>
        <w:tc>
          <w:tcPr>
            <w:tcW w:w="3081" w:type="dxa"/>
          </w:tcPr>
          <w:p w14:paraId="45195E79"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3,500.00</w:t>
            </w:r>
          </w:p>
        </w:tc>
      </w:tr>
      <w:tr w:rsidR="001C09C7" w:rsidRPr="00A46DC3" w14:paraId="1B312B99" w14:textId="77777777" w:rsidTr="00EA1655">
        <w:tc>
          <w:tcPr>
            <w:tcW w:w="3080" w:type="dxa"/>
          </w:tcPr>
          <w:p w14:paraId="2DAE8D62"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2021</w:t>
            </w:r>
          </w:p>
        </w:tc>
        <w:tc>
          <w:tcPr>
            <w:tcW w:w="3081" w:type="dxa"/>
          </w:tcPr>
          <w:p w14:paraId="1C72BDA6"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6,800.00</w:t>
            </w:r>
          </w:p>
        </w:tc>
        <w:tc>
          <w:tcPr>
            <w:tcW w:w="3081" w:type="dxa"/>
          </w:tcPr>
          <w:p w14:paraId="78E242FF"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3,000.00</w:t>
            </w:r>
          </w:p>
        </w:tc>
      </w:tr>
      <w:tr w:rsidR="001C09C7" w:rsidRPr="00A46DC3" w14:paraId="7FD51BAB" w14:textId="77777777" w:rsidTr="00EA1655">
        <w:tc>
          <w:tcPr>
            <w:tcW w:w="3080" w:type="dxa"/>
          </w:tcPr>
          <w:p w14:paraId="486242E8"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2022</w:t>
            </w:r>
          </w:p>
        </w:tc>
        <w:tc>
          <w:tcPr>
            <w:tcW w:w="3081" w:type="dxa"/>
          </w:tcPr>
          <w:p w14:paraId="7CAD8C34"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6,200.00</w:t>
            </w:r>
          </w:p>
        </w:tc>
        <w:tc>
          <w:tcPr>
            <w:tcW w:w="3081" w:type="dxa"/>
          </w:tcPr>
          <w:p w14:paraId="28E8A380"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2,500.00</w:t>
            </w:r>
          </w:p>
        </w:tc>
      </w:tr>
      <w:tr w:rsidR="001C09C7" w:rsidRPr="00A46DC3" w14:paraId="11C565DE" w14:textId="77777777" w:rsidTr="00EA1655">
        <w:tc>
          <w:tcPr>
            <w:tcW w:w="3080" w:type="dxa"/>
          </w:tcPr>
          <w:p w14:paraId="2D937BD6"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2023</w:t>
            </w:r>
          </w:p>
        </w:tc>
        <w:tc>
          <w:tcPr>
            <w:tcW w:w="3081" w:type="dxa"/>
          </w:tcPr>
          <w:p w14:paraId="0E029F61"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5,800.00</w:t>
            </w:r>
          </w:p>
        </w:tc>
        <w:tc>
          <w:tcPr>
            <w:tcW w:w="3081" w:type="dxa"/>
          </w:tcPr>
          <w:p w14:paraId="15A90F87"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2,200.00</w:t>
            </w:r>
          </w:p>
        </w:tc>
      </w:tr>
      <w:tr w:rsidR="001C09C7" w:rsidRPr="00A46DC3" w14:paraId="78463AAE" w14:textId="77777777" w:rsidTr="00EA1655">
        <w:tc>
          <w:tcPr>
            <w:tcW w:w="3080" w:type="dxa"/>
          </w:tcPr>
          <w:p w14:paraId="5CE1B57C" w14:textId="77777777" w:rsidR="001C09C7" w:rsidRPr="00A46DC3" w:rsidRDefault="001C09C7" w:rsidP="00EA1655">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2024</w:t>
            </w:r>
          </w:p>
        </w:tc>
        <w:tc>
          <w:tcPr>
            <w:tcW w:w="3081" w:type="dxa"/>
          </w:tcPr>
          <w:p w14:paraId="59FC4CF5"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5,500.00</w:t>
            </w:r>
          </w:p>
        </w:tc>
        <w:tc>
          <w:tcPr>
            <w:tcW w:w="3081" w:type="dxa"/>
          </w:tcPr>
          <w:p w14:paraId="3F2136F5" w14:textId="77777777" w:rsidR="001C09C7" w:rsidRPr="00A46DC3" w:rsidRDefault="001C09C7" w:rsidP="00EA1655">
            <w:pPr>
              <w:tabs>
                <w:tab w:val="left" w:pos="5304"/>
              </w:tabs>
              <w:jc w:val="right"/>
              <w:rPr>
                <w:rFonts w:ascii="Times New Roman" w:hAnsi="Times New Roman" w:cs="Times New Roman"/>
                <w:sz w:val="24"/>
                <w:szCs w:val="24"/>
              </w:rPr>
            </w:pPr>
            <w:r w:rsidRPr="00A46DC3">
              <w:rPr>
                <w:rFonts w:ascii="Times New Roman" w:hAnsi="Times New Roman" w:cs="Times New Roman"/>
                <w:sz w:val="24"/>
                <w:szCs w:val="24"/>
              </w:rPr>
              <w:t>2,000.00</w:t>
            </w:r>
          </w:p>
        </w:tc>
      </w:tr>
    </w:tbl>
    <w:p w14:paraId="6C505DBB" w14:textId="77777777" w:rsidR="001C09C7" w:rsidRPr="00A46DC3" w:rsidRDefault="001C09C7" w:rsidP="001A0696">
      <w:pPr>
        <w:tabs>
          <w:tab w:val="left" w:pos="5304"/>
        </w:tabs>
        <w:rPr>
          <w:rFonts w:ascii="Times New Roman" w:hAnsi="Times New Roman" w:cs="Times New Roman"/>
          <w:b/>
          <w:bCs/>
          <w:sz w:val="24"/>
          <w:szCs w:val="24"/>
        </w:rPr>
      </w:pPr>
    </w:p>
    <w:p w14:paraId="03896B29" w14:textId="7E4ED781" w:rsidR="00F648A7" w:rsidRPr="00A46DC3" w:rsidRDefault="00F648A7" w:rsidP="00F648A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Figure 4.12: Showing the comparison of Gross NPA and Net NPA of HDFC Bank (Rs. in cr)</w:t>
      </w:r>
    </w:p>
    <w:p w14:paraId="1ED7DE1F" w14:textId="45948A4D" w:rsidR="004466A4" w:rsidRPr="00A46DC3" w:rsidRDefault="005B4C74" w:rsidP="004466A4">
      <w:pPr>
        <w:tabs>
          <w:tab w:val="left" w:pos="5304"/>
        </w:tabs>
        <w:rPr>
          <w:rFonts w:ascii="Times New Roman" w:hAnsi="Times New Roman" w:cs="Times New Roman"/>
          <w:b/>
          <w:bCs/>
          <w:sz w:val="24"/>
          <w:szCs w:val="24"/>
        </w:rPr>
      </w:pPr>
      <w:r w:rsidRPr="00A46DC3">
        <w:rPr>
          <w:rFonts w:ascii="Times New Roman" w:hAnsi="Times New Roman" w:cs="Times New Roman"/>
          <w:noProof/>
          <w:sz w:val="24"/>
          <w:szCs w:val="24"/>
        </w:rPr>
        <w:lastRenderedPageBreak/>
        <w:drawing>
          <wp:inline distT="0" distB="0" distL="0" distR="0" wp14:anchorId="6D1AEC62" wp14:editId="68EF0D09">
            <wp:extent cx="4828690" cy="2763520"/>
            <wp:effectExtent l="0" t="0" r="10160" b="17780"/>
            <wp:docPr id="681267830" name="Chart 1">
              <a:extLst xmlns:a="http://schemas.openxmlformats.org/drawingml/2006/main">
                <a:ext uri="{FF2B5EF4-FFF2-40B4-BE49-F238E27FC236}">
                  <a16:creationId xmlns:a16="http://schemas.microsoft.com/office/drawing/2014/main" id="{37FA2F1A-7B6C-9469-FAC3-9B80738B5E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41CB7A3" w14:textId="1C99A7E8" w:rsidR="000F3265" w:rsidRPr="00A46DC3" w:rsidRDefault="000F3265" w:rsidP="0090080A">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Conclusion: </w:t>
      </w:r>
      <w:r w:rsidR="004466A4" w:rsidRPr="00A46DC3">
        <w:rPr>
          <w:rFonts w:ascii="Times New Roman" w:hAnsi="Times New Roman" w:cs="Times New Roman"/>
          <w:sz w:val="24"/>
          <w:szCs w:val="24"/>
        </w:rPr>
        <w:t xml:space="preserve">The </w:t>
      </w:r>
      <w:r w:rsidR="004466A4" w:rsidRPr="00A46DC3">
        <w:rPr>
          <w:rFonts w:ascii="Times New Roman" w:hAnsi="Times New Roman" w:cs="Times New Roman"/>
          <w:b/>
          <w:bCs/>
          <w:sz w:val="24"/>
          <w:szCs w:val="24"/>
        </w:rPr>
        <w:t>Gross NPA</w:t>
      </w:r>
      <w:r w:rsidR="004466A4" w:rsidRPr="00A46DC3">
        <w:rPr>
          <w:rFonts w:ascii="Times New Roman" w:hAnsi="Times New Roman" w:cs="Times New Roman"/>
          <w:sz w:val="24"/>
          <w:szCs w:val="24"/>
        </w:rPr>
        <w:t xml:space="preserve"> has been steadily </w:t>
      </w:r>
      <w:r w:rsidR="004466A4" w:rsidRPr="00A46DC3">
        <w:rPr>
          <w:rFonts w:ascii="Times New Roman" w:hAnsi="Times New Roman" w:cs="Times New Roman"/>
          <w:b/>
          <w:bCs/>
          <w:sz w:val="24"/>
          <w:szCs w:val="24"/>
        </w:rPr>
        <w:t>decreasing</w:t>
      </w:r>
      <w:r w:rsidR="004466A4" w:rsidRPr="00A46DC3">
        <w:rPr>
          <w:rFonts w:ascii="Times New Roman" w:hAnsi="Times New Roman" w:cs="Times New Roman"/>
          <w:sz w:val="24"/>
          <w:szCs w:val="24"/>
        </w:rPr>
        <w:t xml:space="preserve"> from </w:t>
      </w:r>
      <w:r w:rsidR="004466A4" w:rsidRPr="00A46DC3">
        <w:rPr>
          <w:rFonts w:ascii="Times New Roman" w:hAnsi="Times New Roman" w:cs="Times New Roman"/>
          <w:b/>
          <w:bCs/>
          <w:sz w:val="24"/>
          <w:szCs w:val="24"/>
        </w:rPr>
        <w:t>₹8,091.74 crore in 2019</w:t>
      </w:r>
      <w:r w:rsidR="004466A4" w:rsidRPr="00A46DC3">
        <w:rPr>
          <w:rFonts w:ascii="Times New Roman" w:hAnsi="Times New Roman" w:cs="Times New Roman"/>
          <w:sz w:val="24"/>
          <w:szCs w:val="24"/>
        </w:rPr>
        <w:t xml:space="preserve"> to </w:t>
      </w:r>
      <w:r w:rsidR="004466A4" w:rsidRPr="00A46DC3">
        <w:rPr>
          <w:rFonts w:ascii="Times New Roman" w:hAnsi="Times New Roman" w:cs="Times New Roman"/>
          <w:b/>
          <w:bCs/>
          <w:sz w:val="24"/>
          <w:szCs w:val="24"/>
        </w:rPr>
        <w:t>₹5,500 crore in 2024</w:t>
      </w:r>
      <w:r w:rsidR="004466A4" w:rsidRPr="00A46DC3">
        <w:rPr>
          <w:rFonts w:ascii="Times New Roman" w:hAnsi="Times New Roman" w:cs="Times New Roman"/>
          <w:sz w:val="24"/>
          <w:szCs w:val="24"/>
        </w:rPr>
        <w:t xml:space="preserve">. This shows that HDFC Bank is successfully reducing the total amount of non-performing loans in its portfolio. The </w:t>
      </w:r>
      <w:r w:rsidR="004466A4" w:rsidRPr="00A46DC3">
        <w:rPr>
          <w:rFonts w:ascii="Times New Roman" w:hAnsi="Times New Roman" w:cs="Times New Roman"/>
          <w:b/>
          <w:bCs/>
          <w:sz w:val="24"/>
          <w:szCs w:val="24"/>
        </w:rPr>
        <w:t>decrease in Gross NPA</w:t>
      </w:r>
      <w:r w:rsidR="004466A4" w:rsidRPr="00A46DC3">
        <w:rPr>
          <w:rFonts w:ascii="Times New Roman" w:hAnsi="Times New Roman" w:cs="Times New Roman"/>
          <w:sz w:val="24"/>
          <w:szCs w:val="24"/>
        </w:rPr>
        <w:t xml:space="preserve"> suggests that the bank’s loan book quality has been improving, and it has likely implemented better </w:t>
      </w:r>
      <w:r w:rsidR="004466A4" w:rsidRPr="00A46DC3">
        <w:rPr>
          <w:rFonts w:ascii="Times New Roman" w:hAnsi="Times New Roman" w:cs="Times New Roman"/>
          <w:b/>
          <w:bCs/>
          <w:sz w:val="24"/>
          <w:szCs w:val="24"/>
        </w:rPr>
        <w:t>credit risk management</w:t>
      </w:r>
      <w:r w:rsidR="004466A4" w:rsidRPr="00A46DC3">
        <w:rPr>
          <w:rFonts w:ascii="Times New Roman" w:hAnsi="Times New Roman" w:cs="Times New Roman"/>
          <w:sz w:val="24"/>
          <w:szCs w:val="24"/>
        </w:rPr>
        <w:t xml:space="preserve"> practices to minimize defaults.</w:t>
      </w:r>
      <w:r w:rsidR="0090080A" w:rsidRPr="00A46DC3">
        <w:rPr>
          <w:rFonts w:ascii="Times New Roman" w:hAnsi="Times New Roman" w:cs="Times New Roman"/>
          <w:sz w:val="24"/>
          <w:szCs w:val="24"/>
        </w:rPr>
        <w:t xml:space="preserve"> </w:t>
      </w:r>
      <w:proofErr w:type="gramStart"/>
      <w:r w:rsidR="0090080A" w:rsidRPr="00A46DC3">
        <w:rPr>
          <w:rFonts w:ascii="Times New Roman" w:hAnsi="Times New Roman" w:cs="Times New Roman"/>
          <w:sz w:val="24"/>
          <w:szCs w:val="24"/>
        </w:rPr>
        <w:t>  The</w:t>
      </w:r>
      <w:proofErr w:type="gramEnd"/>
      <w:r w:rsidR="0090080A" w:rsidRPr="00A46DC3">
        <w:rPr>
          <w:rFonts w:ascii="Times New Roman" w:hAnsi="Times New Roman" w:cs="Times New Roman"/>
          <w:sz w:val="24"/>
          <w:szCs w:val="24"/>
        </w:rPr>
        <w:t xml:space="preserve"> </w:t>
      </w:r>
      <w:r w:rsidR="0090080A" w:rsidRPr="00A46DC3">
        <w:rPr>
          <w:rFonts w:ascii="Times New Roman" w:hAnsi="Times New Roman" w:cs="Times New Roman"/>
          <w:b/>
          <w:bCs/>
          <w:sz w:val="24"/>
          <w:szCs w:val="24"/>
        </w:rPr>
        <w:t>Net NPA</w:t>
      </w:r>
      <w:r w:rsidR="0090080A" w:rsidRPr="00A46DC3">
        <w:rPr>
          <w:rFonts w:ascii="Times New Roman" w:hAnsi="Times New Roman" w:cs="Times New Roman"/>
          <w:sz w:val="24"/>
          <w:szCs w:val="24"/>
        </w:rPr>
        <w:t xml:space="preserve"> has also consistently </w:t>
      </w:r>
      <w:r w:rsidR="0090080A" w:rsidRPr="00A46DC3">
        <w:rPr>
          <w:rFonts w:ascii="Times New Roman" w:hAnsi="Times New Roman" w:cs="Times New Roman"/>
          <w:b/>
          <w:bCs/>
          <w:sz w:val="24"/>
          <w:szCs w:val="24"/>
        </w:rPr>
        <w:t>decreased</w:t>
      </w:r>
      <w:r w:rsidR="0090080A" w:rsidRPr="00A46DC3">
        <w:rPr>
          <w:rFonts w:ascii="Times New Roman" w:hAnsi="Times New Roman" w:cs="Times New Roman"/>
          <w:sz w:val="24"/>
          <w:szCs w:val="24"/>
        </w:rPr>
        <w:t xml:space="preserve"> from </w:t>
      </w:r>
      <w:r w:rsidR="0090080A" w:rsidRPr="00A46DC3">
        <w:rPr>
          <w:rFonts w:ascii="Times New Roman" w:hAnsi="Times New Roman" w:cs="Times New Roman"/>
          <w:b/>
          <w:bCs/>
          <w:sz w:val="24"/>
          <w:szCs w:val="24"/>
        </w:rPr>
        <w:t>₹4,368.43 crore in 2019</w:t>
      </w:r>
      <w:r w:rsidR="0090080A" w:rsidRPr="00A46DC3">
        <w:rPr>
          <w:rFonts w:ascii="Times New Roman" w:hAnsi="Times New Roman" w:cs="Times New Roman"/>
          <w:sz w:val="24"/>
          <w:szCs w:val="24"/>
        </w:rPr>
        <w:t xml:space="preserve"> to </w:t>
      </w:r>
      <w:r w:rsidR="0090080A" w:rsidRPr="00A46DC3">
        <w:rPr>
          <w:rFonts w:ascii="Times New Roman" w:hAnsi="Times New Roman" w:cs="Times New Roman"/>
          <w:b/>
          <w:bCs/>
          <w:sz w:val="24"/>
          <w:szCs w:val="24"/>
        </w:rPr>
        <w:t>₹2,000 crore in 2024</w:t>
      </w:r>
      <w:r w:rsidR="0090080A" w:rsidRPr="00A46DC3">
        <w:rPr>
          <w:rFonts w:ascii="Times New Roman" w:hAnsi="Times New Roman" w:cs="Times New Roman"/>
          <w:sz w:val="24"/>
          <w:szCs w:val="24"/>
        </w:rPr>
        <w:t xml:space="preserve">. This indicates that HDFC Bank has not only reduced the amount of non-performing loans, but it has also been effective in </w:t>
      </w:r>
      <w:r w:rsidR="0090080A" w:rsidRPr="00A46DC3">
        <w:rPr>
          <w:rFonts w:ascii="Times New Roman" w:hAnsi="Times New Roman" w:cs="Times New Roman"/>
          <w:b/>
          <w:bCs/>
          <w:sz w:val="24"/>
          <w:szCs w:val="24"/>
        </w:rPr>
        <w:t>provisioning</w:t>
      </w:r>
      <w:r w:rsidR="0090080A" w:rsidRPr="00A46DC3">
        <w:rPr>
          <w:rFonts w:ascii="Times New Roman" w:hAnsi="Times New Roman" w:cs="Times New Roman"/>
          <w:sz w:val="24"/>
          <w:szCs w:val="24"/>
        </w:rPr>
        <w:t xml:space="preserve"> for bad loans. The </w:t>
      </w:r>
      <w:r w:rsidR="0090080A" w:rsidRPr="00A46DC3">
        <w:rPr>
          <w:rFonts w:ascii="Times New Roman" w:hAnsi="Times New Roman" w:cs="Times New Roman"/>
          <w:b/>
          <w:bCs/>
          <w:sz w:val="24"/>
          <w:szCs w:val="24"/>
        </w:rPr>
        <w:t>decline in Net NPA</w:t>
      </w:r>
      <w:r w:rsidR="0090080A" w:rsidRPr="00A46DC3">
        <w:rPr>
          <w:rFonts w:ascii="Times New Roman" w:hAnsi="Times New Roman" w:cs="Times New Roman"/>
          <w:sz w:val="24"/>
          <w:szCs w:val="24"/>
        </w:rPr>
        <w:t xml:space="preserve"> suggests that the bank has been able to </w:t>
      </w:r>
      <w:r w:rsidR="0090080A" w:rsidRPr="00A46DC3">
        <w:rPr>
          <w:rFonts w:ascii="Times New Roman" w:hAnsi="Times New Roman" w:cs="Times New Roman"/>
          <w:b/>
          <w:bCs/>
          <w:sz w:val="24"/>
          <w:szCs w:val="24"/>
        </w:rPr>
        <w:t>recover a larger portion</w:t>
      </w:r>
      <w:r w:rsidR="0090080A" w:rsidRPr="00A46DC3">
        <w:rPr>
          <w:rFonts w:ascii="Times New Roman" w:hAnsi="Times New Roman" w:cs="Times New Roman"/>
          <w:sz w:val="24"/>
          <w:szCs w:val="24"/>
        </w:rPr>
        <w:t xml:space="preserve"> of its bad loans or make adequate provisions against potential losses. This also signals a more </w:t>
      </w:r>
      <w:r w:rsidR="0090080A" w:rsidRPr="00A46DC3">
        <w:rPr>
          <w:rFonts w:ascii="Times New Roman" w:hAnsi="Times New Roman" w:cs="Times New Roman"/>
          <w:b/>
          <w:bCs/>
          <w:sz w:val="24"/>
          <w:szCs w:val="24"/>
        </w:rPr>
        <w:t>resilient financial position</w:t>
      </w:r>
      <w:r w:rsidR="0090080A" w:rsidRPr="00A46DC3">
        <w:rPr>
          <w:rFonts w:ascii="Times New Roman" w:hAnsi="Times New Roman" w:cs="Times New Roman"/>
          <w:sz w:val="24"/>
          <w:szCs w:val="24"/>
        </w:rPr>
        <w:t>.</w:t>
      </w:r>
    </w:p>
    <w:p w14:paraId="35CA5C89" w14:textId="521D073C" w:rsidR="00FB7DC5" w:rsidRPr="00A46DC3" w:rsidRDefault="00FB7DC5" w:rsidP="00FB7DC5">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4.1</w:t>
      </w:r>
      <w:r w:rsidR="00D91457" w:rsidRPr="00A46DC3">
        <w:rPr>
          <w:rFonts w:ascii="Times New Roman" w:hAnsi="Times New Roman" w:cs="Times New Roman"/>
          <w:b/>
          <w:bCs/>
          <w:sz w:val="24"/>
          <w:szCs w:val="24"/>
        </w:rPr>
        <w:t>3</w:t>
      </w:r>
      <w:r w:rsidRPr="00A46DC3">
        <w:rPr>
          <w:rFonts w:ascii="Times New Roman" w:hAnsi="Times New Roman" w:cs="Times New Roman"/>
          <w:b/>
          <w:bCs/>
          <w:sz w:val="24"/>
          <w:szCs w:val="24"/>
        </w:rPr>
        <w:t xml:space="preserve"> </w:t>
      </w:r>
      <w:r w:rsidR="0034297A" w:rsidRPr="00A46DC3">
        <w:rPr>
          <w:rFonts w:ascii="Times New Roman" w:hAnsi="Times New Roman" w:cs="Times New Roman"/>
          <w:b/>
          <w:bCs/>
          <w:sz w:val="24"/>
          <w:szCs w:val="24"/>
        </w:rPr>
        <w:t>Table showing the Mean</w:t>
      </w:r>
      <w:r w:rsidR="003433F1" w:rsidRPr="00A46DC3">
        <w:rPr>
          <w:rFonts w:ascii="Times New Roman" w:hAnsi="Times New Roman" w:cs="Times New Roman"/>
          <w:b/>
          <w:bCs/>
          <w:sz w:val="24"/>
          <w:szCs w:val="24"/>
        </w:rPr>
        <w:t xml:space="preserve">, Standard Deviation and Coefficient of Variation for Gross NPA and Net NPA of </w:t>
      </w:r>
      <w:r w:rsidR="001859BD" w:rsidRPr="00A46DC3">
        <w:rPr>
          <w:rFonts w:ascii="Times New Roman" w:hAnsi="Times New Roman" w:cs="Times New Roman"/>
          <w:b/>
          <w:bCs/>
          <w:sz w:val="24"/>
          <w:szCs w:val="24"/>
        </w:rPr>
        <w:t>Federal Bank, State Bank of India and HDFC Bank</w:t>
      </w:r>
      <w:r w:rsidR="00F503FE" w:rsidRPr="00A46DC3">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276"/>
        <w:gridCol w:w="1291"/>
        <w:gridCol w:w="1291"/>
        <w:gridCol w:w="1291"/>
        <w:gridCol w:w="1291"/>
        <w:gridCol w:w="1284"/>
        <w:gridCol w:w="1292"/>
      </w:tblGrid>
      <w:tr w:rsidR="001E408E" w:rsidRPr="00A46DC3" w14:paraId="58A7F35D" w14:textId="77777777" w:rsidTr="00EA1655">
        <w:tc>
          <w:tcPr>
            <w:tcW w:w="1320" w:type="dxa"/>
          </w:tcPr>
          <w:p w14:paraId="54690051" w14:textId="77777777" w:rsidR="001E408E" w:rsidRPr="00A46DC3" w:rsidRDefault="001E408E" w:rsidP="00024B1E">
            <w:pPr>
              <w:tabs>
                <w:tab w:val="left" w:pos="5304"/>
              </w:tabs>
              <w:jc w:val="center"/>
              <w:rPr>
                <w:rFonts w:ascii="Times New Roman" w:hAnsi="Times New Roman" w:cs="Times New Roman"/>
                <w:b/>
                <w:bCs/>
                <w:sz w:val="24"/>
                <w:szCs w:val="24"/>
              </w:rPr>
            </w:pPr>
          </w:p>
        </w:tc>
        <w:tc>
          <w:tcPr>
            <w:tcW w:w="2640" w:type="dxa"/>
            <w:gridSpan w:val="2"/>
            <w:shd w:val="clear" w:color="auto" w:fill="FFFFFF" w:themeFill="background1"/>
          </w:tcPr>
          <w:p w14:paraId="766E9140" w14:textId="0784C89A" w:rsidR="001E408E" w:rsidRPr="00A46DC3" w:rsidRDefault="00464F5D"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Federal Bank</w:t>
            </w:r>
          </w:p>
        </w:tc>
        <w:tc>
          <w:tcPr>
            <w:tcW w:w="2640" w:type="dxa"/>
            <w:gridSpan w:val="2"/>
          </w:tcPr>
          <w:p w14:paraId="158396F7" w14:textId="064A4724" w:rsidR="001E408E" w:rsidRPr="00A46DC3" w:rsidRDefault="00464F5D"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State Bank of India</w:t>
            </w:r>
          </w:p>
        </w:tc>
        <w:tc>
          <w:tcPr>
            <w:tcW w:w="2642" w:type="dxa"/>
            <w:gridSpan w:val="2"/>
          </w:tcPr>
          <w:p w14:paraId="52EC91F3" w14:textId="1554E7C6" w:rsidR="001E408E" w:rsidRPr="00A46DC3" w:rsidRDefault="00490A3E"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HDFC Bank</w:t>
            </w:r>
          </w:p>
        </w:tc>
      </w:tr>
      <w:tr w:rsidR="00F40C61" w:rsidRPr="00A46DC3" w14:paraId="336BA63A" w14:textId="77777777" w:rsidTr="00F40C61">
        <w:tc>
          <w:tcPr>
            <w:tcW w:w="1320" w:type="dxa"/>
          </w:tcPr>
          <w:p w14:paraId="3E3019B1" w14:textId="77777777" w:rsidR="00F40C61" w:rsidRPr="00A46DC3" w:rsidRDefault="00F40C61" w:rsidP="00024B1E">
            <w:pPr>
              <w:tabs>
                <w:tab w:val="left" w:pos="5304"/>
              </w:tabs>
              <w:jc w:val="center"/>
              <w:rPr>
                <w:rFonts w:ascii="Times New Roman" w:hAnsi="Times New Roman" w:cs="Times New Roman"/>
                <w:sz w:val="24"/>
                <w:szCs w:val="24"/>
              </w:rPr>
            </w:pPr>
          </w:p>
        </w:tc>
        <w:tc>
          <w:tcPr>
            <w:tcW w:w="1320" w:type="dxa"/>
          </w:tcPr>
          <w:p w14:paraId="56566C26" w14:textId="2BAACCBE" w:rsidR="00F40C61" w:rsidRPr="00A46DC3" w:rsidRDefault="00177DC8"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GNPA</w:t>
            </w:r>
          </w:p>
        </w:tc>
        <w:tc>
          <w:tcPr>
            <w:tcW w:w="1320" w:type="dxa"/>
          </w:tcPr>
          <w:p w14:paraId="4C7FC745" w14:textId="51AB8025" w:rsidR="00F40C61" w:rsidRPr="00A46DC3" w:rsidRDefault="00177DC8"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NNPA</w:t>
            </w:r>
          </w:p>
        </w:tc>
        <w:tc>
          <w:tcPr>
            <w:tcW w:w="1320" w:type="dxa"/>
          </w:tcPr>
          <w:p w14:paraId="5D0C7742" w14:textId="63E936F7" w:rsidR="00F40C61" w:rsidRPr="00A46DC3" w:rsidRDefault="00177DC8"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GNPA</w:t>
            </w:r>
          </w:p>
        </w:tc>
        <w:tc>
          <w:tcPr>
            <w:tcW w:w="1320" w:type="dxa"/>
          </w:tcPr>
          <w:p w14:paraId="42480CF9" w14:textId="56C83313" w:rsidR="00F40C61" w:rsidRPr="00A46DC3" w:rsidRDefault="00177DC8"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NNPA</w:t>
            </w:r>
          </w:p>
        </w:tc>
        <w:tc>
          <w:tcPr>
            <w:tcW w:w="1321" w:type="dxa"/>
          </w:tcPr>
          <w:p w14:paraId="612678CF" w14:textId="68D128B6" w:rsidR="00F40C61" w:rsidRPr="00A46DC3" w:rsidRDefault="00177DC8"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G</w:t>
            </w:r>
            <w:r w:rsidR="003254C9" w:rsidRPr="00A46DC3">
              <w:rPr>
                <w:rFonts w:ascii="Times New Roman" w:hAnsi="Times New Roman" w:cs="Times New Roman"/>
                <w:sz w:val="24"/>
                <w:szCs w:val="24"/>
              </w:rPr>
              <w:t>NPA</w:t>
            </w:r>
          </w:p>
        </w:tc>
        <w:tc>
          <w:tcPr>
            <w:tcW w:w="1321" w:type="dxa"/>
          </w:tcPr>
          <w:p w14:paraId="1BF57A90" w14:textId="5187641A" w:rsidR="00F40C61" w:rsidRPr="00A46DC3" w:rsidRDefault="003254C9"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NNPA</w:t>
            </w:r>
          </w:p>
        </w:tc>
      </w:tr>
      <w:tr w:rsidR="00F40C61" w:rsidRPr="00A46DC3" w14:paraId="47EFEEE7" w14:textId="77777777" w:rsidTr="00F40C61">
        <w:tc>
          <w:tcPr>
            <w:tcW w:w="1320" w:type="dxa"/>
          </w:tcPr>
          <w:p w14:paraId="43D4D696" w14:textId="5EC997A2" w:rsidR="00F40C61" w:rsidRPr="00A46DC3" w:rsidRDefault="00DB050F"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Mean</w:t>
            </w:r>
          </w:p>
        </w:tc>
        <w:tc>
          <w:tcPr>
            <w:tcW w:w="1320" w:type="dxa"/>
          </w:tcPr>
          <w:p w14:paraId="57391853" w14:textId="56EDD13C" w:rsidR="00F40C61" w:rsidRPr="00A46DC3" w:rsidRDefault="00BB73C5"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2.74%</w:t>
            </w:r>
          </w:p>
        </w:tc>
        <w:tc>
          <w:tcPr>
            <w:tcW w:w="1320" w:type="dxa"/>
          </w:tcPr>
          <w:p w14:paraId="44670E34" w14:textId="36B1D2D4" w:rsidR="00F40C61" w:rsidRPr="00A46DC3" w:rsidRDefault="00C8556B"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1.04%</w:t>
            </w:r>
          </w:p>
        </w:tc>
        <w:tc>
          <w:tcPr>
            <w:tcW w:w="1320" w:type="dxa"/>
          </w:tcPr>
          <w:p w14:paraId="4098C9DE" w14:textId="4B43F06B" w:rsidR="00F40C61" w:rsidRPr="00A46DC3" w:rsidRDefault="00D76F0F"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4.76%</w:t>
            </w:r>
          </w:p>
        </w:tc>
        <w:tc>
          <w:tcPr>
            <w:tcW w:w="1320" w:type="dxa"/>
          </w:tcPr>
          <w:p w14:paraId="40850F7B" w14:textId="2F768151" w:rsidR="00F40C61" w:rsidRPr="00A46DC3" w:rsidRDefault="00015FAC" w:rsidP="00383D1C">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1.54%</w:t>
            </w:r>
          </w:p>
        </w:tc>
        <w:tc>
          <w:tcPr>
            <w:tcW w:w="1321" w:type="dxa"/>
          </w:tcPr>
          <w:p w14:paraId="4BAFC69D" w14:textId="0671FA17" w:rsidR="00F40C61" w:rsidRPr="00A46DC3" w:rsidRDefault="00C8556B"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1.24%</w:t>
            </w:r>
          </w:p>
        </w:tc>
        <w:tc>
          <w:tcPr>
            <w:tcW w:w="1321" w:type="dxa"/>
          </w:tcPr>
          <w:p w14:paraId="31634236" w14:textId="2FD76B26" w:rsidR="00F40C61" w:rsidRPr="00A46DC3" w:rsidRDefault="006D61B1"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0.35%</w:t>
            </w:r>
          </w:p>
        </w:tc>
      </w:tr>
      <w:tr w:rsidR="00F40C61" w:rsidRPr="00A46DC3" w14:paraId="01F6DBB6" w14:textId="77777777" w:rsidTr="00F40C61">
        <w:tc>
          <w:tcPr>
            <w:tcW w:w="1320" w:type="dxa"/>
          </w:tcPr>
          <w:p w14:paraId="5AACF33A" w14:textId="179B316B" w:rsidR="00F40C61" w:rsidRPr="00A46DC3" w:rsidRDefault="00CF2EFE"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S.D.</w:t>
            </w:r>
          </w:p>
        </w:tc>
        <w:tc>
          <w:tcPr>
            <w:tcW w:w="1320" w:type="dxa"/>
          </w:tcPr>
          <w:p w14:paraId="37FBD3B5" w14:textId="13438220" w:rsidR="00F40C61" w:rsidRPr="00A46DC3" w:rsidRDefault="00BB73C5"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0.45</w:t>
            </w:r>
          </w:p>
        </w:tc>
        <w:tc>
          <w:tcPr>
            <w:tcW w:w="1320" w:type="dxa"/>
          </w:tcPr>
          <w:p w14:paraId="52F5A636" w14:textId="48D9401A" w:rsidR="00F40C61" w:rsidRPr="00A46DC3" w:rsidRDefault="00BB73C5"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0.35</w:t>
            </w:r>
          </w:p>
        </w:tc>
        <w:tc>
          <w:tcPr>
            <w:tcW w:w="1320" w:type="dxa"/>
          </w:tcPr>
          <w:p w14:paraId="34F64F31" w14:textId="53B149AB" w:rsidR="00F40C61" w:rsidRPr="00A46DC3" w:rsidRDefault="00694C11"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1.83</w:t>
            </w:r>
          </w:p>
        </w:tc>
        <w:tc>
          <w:tcPr>
            <w:tcW w:w="1320" w:type="dxa"/>
          </w:tcPr>
          <w:p w14:paraId="6848E204" w14:textId="6AEFBFD9" w:rsidR="00F40C61" w:rsidRPr="00A46DC3" w:rsidRDefault="00015FAC"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0.92</w:t>
            </w:r>
          </w:p>
        </w:tc>
        <w:tc>
          <w:tcPr>
            <w:tcW w:w="1321" w:type="dxa"/>
          </w:tcPr>
          <w:p w14:paraId="4F139DC7" w14:textId="7738729C" w:rsidR="00F40C61" w:rsidRPr="00A46DC3" w:rsidRDefault="00C8556B"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0.09</w:t>
            </w:r>
          </w:p>
        </w:tc>
        <w:tc>
          <w:tcPr>
            <w:tcW w:w="1321" w:type="dxa"/>
          </w:tcPr>
          <w:p w14:paraId="3E98AB77" w14:textId="27422F92" w:rsidR="00F40C61" w:rsidRPr="00A46DC3" w:rsidRDefault="006D61B1"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0.04</w:t>
            </w:r>
          </w:p>
        </w:tc>
      </w:tr>
      <w:tr w:rsidR="00F40C61" w:rsidRPr="00A46DC3" w14:paraId="5F11293A" w14:textId="77777777" w:rsidTr="00F40C61">
        <w:tc>
          <w:tcPr>
            <w:tcW w:w="1320" w:type="dxa"/>
          </w:tcPr>
          <w:p w14:paraId="765782AC" w14:textId="565F05D7" w:rsidR="00F40C61" w:rsidRPr="00A46DC3" w:rsidRDefault="00CF2EFE"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C.V.</w:t>
            </w:r>
          </w:p>
        </w:tc>
        <w:tc>
          <w:tcPr>
            <w:tcW w:w="1320" w:type="dxa"/>
          </w:tcPr>
          <w:p w14:paraId="163CEB1D" w14:textId="76CCE169" w:rsidR="00F40C61" w:rsidRPr="00A46DC3" w:rsidRDefault="00BB73C5"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16.39%</w:t>
            </w:r>
          </w:p>
        </w:tc>
        <w:tc>
          <w:tcPr>
            <w:tcW w:w="1320" w:type="dxa"/>
          </w:tcPr>
          <w:p w14:paraId="3A146DDC" w14:textId="4500B12D" w:rsidR="00F40C61" w:rsidRPr="00A46DC3" w:rsidRDefault="00BB73C5"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33.68%</w:t>
            </w:r>
          </w:p>
        </w:tc>
        <w:tc>
          <w:tcPr>
            <w:tcW w:w="1320" w:type="dxa"/>
          </w:tcPr>
          <w:p w14:paraId="3CC75ED9" w14:textId="50D2ABA4" w:rsidR="00F40C61" w:rsidRPr="00A46DC3" w:rsidRDefault="00694C11"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38.53%</w:t>
            </w:r>
          </w:p>
        </w:tc>
        <w:tc>
          <w:tcPr>
            <w:tcW w:w="1320" w:type="dxa"/>
          </w:tcPr>
          <w:p w14:paraId="478E8113" w14:textId="16EB10FC" w:rsidR="00F40C61" w:rsidRPr="00A46DC3" w:rsidRDefault="00015FAC" w:rsidP="00015FAC">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59.45%</w:t>
            </w:r>
          </w:p>
        </w:tc>
        <w:tc>
          <w:tcPr>
            <w:tcW w:w="1321" w:type="dxa"/>
          </w:tcPr>
          <w:p w14:paraId="40FA925D" w14:textId="40B4ED9D" w:rsidR="00F40C61" w:rsidRPr="00A46DC3" w:rsidRDefault="00C8556B"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7.41%</w:t>
            </w:r>
          </w:p>
        </w:tc>
        <w:tc>
          <w:tcPr>
            <w:tcW w:w="1321" w:type="dxa"/>
          </w:tcPr>
          <w:p w14:paraId="67CDD92B" w14:textId="2CE12DF1" w:rsidR="00F40C61" w:rsidRPr="00A46DC3" w:rsidRDefault="006D61B1" w:rsidP="00024B1E">
            <w:pPr>
              <w:tabs>
                <w:tab w:val="left" w:pos="5304"/>
              </w:tabs>
              <w:jc w:val="center"/>
              <w:rPr>
                <w:rFonts w:ascii="Times New Roman" w:hAnsi="Times New Roman" w:cs="Times New Roman"/>
                <w:sz w:val="24"/>
                <w:szCs w:val="24"/>
              </w:rPr>
            </w:pPr>
            <w:r w:rsidRPr="00A46DC3">
              <w:rPr>
                <w:rFonts w:ascii="Times New Roman" w:hAnsi="Times New Roman" w:cs="Times New Roman"/>
                <w:sz w:val="24"/>
                <w:szCs w:val="24"/>
              </w:rPr>
              <w:t>12.93%</w:t>
            </w:r>
          </w:p>
        </w:tc>
      </w:tr>
    </w:tbl>
    <w:p w14:paraId="307700D3" w14:textId="77777777" w:rsidR="00F503FE" w:rsidRPr="00A46DC3" w:rsidRDefault="00F503FE" w:rsidP="00FB7DC5">
      <w:pPr>
        <w:tabs>
          <w:tab w:val="left" w:pos="5304"/>
        </w:tabs>
        <w:rPr>
          <w:rFonts w:ascii="Times New Roman" w:hAnsi="Times New Roman" w:cs="Times New Roman"/>
          <w:b/>
          <w:bCs/>
          <w:sz w:val="24"/>
          <w:szCs w:val="24"/>
        </w:rPr>
      </w:pPr>
    </w:p>
    <w:p w14:paraId="1AA63DB6" w14:textId="77777777" w:rsidR="00D4325A" w:rsidRPr="00A46DC3" w:rsidRDefault="00651ED0" w:rsidP="00D4325A">
      <w:pPr>
        <w:tabs>
          <w:tab w:val="left" w:pos="5304"/>
        </w:tabs>
        <w:rPr>
          <w:rFonts w:ascii="Times New Roman" w:hAnsi="Times New Roman" w:cs="Times New Roman"/>
          <w:sz w:val="24"/>
          <w:szCs w:val="24"/>
        </w:rPr>
      </w:pPr>
      <w:r w:rsidRPr="00A46DC3">
        <w:rPr>
          <w:rFonts w:ascii="Times New Roman" w:hAnsi="Times New Roman" w:cs="Times New Roman"/>
          <w:sz w:val="24"/>
          <w:szCs w:val="24"/>
        </w:rPr>
        <w:t>Calculations:</w:t>
      </w:r>
    </w:p>
    <w:p w14:paraId="4F485A48" w14:textId="439E6375" w:rsidR="00383437" w:rsidRPr="00A46DC3" w:rsidRDefault="00383437" w:rsidP="00D4325A">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The </w:t>
      </w:r>
      <w:r w:rsidRPr="00A46DC3">
        <w:rPr>
          <w:rFonts w:ascii="Times New Roman" w:hAnsi="Times New Roman" w:cs="Times New Roman"/>
          <w:b/>
          <w:bCs/>
          <w:sz w:val="24"/>
          <w:szCs w:val="24"/>
        </w:rPr>
        <w:t>mean</w:t>
      </w:r>
      <w:r w:rsidRPr="00A46DC3">
        <w:rPr>
          <w:rFonts w:ascii="Times New Roman" w:hAnsi="Times New Roman" w:cs="Times New Roman"/>
          <w:sz w:val="24"/>
          <w:szCs w:val="24"/>
        </w:rPr>
        <w:t xml:space="preserve"> is calculated as:</w:t>
      </w:r>
    </w:p>
    <w:p w14:paraId="25BC655C" w14:textId="2E5A4DE1" w:rsidR="00383437" w:rsidRPr="00A46DC3" w:rsidRDefault="00D4325A" w:rsidP="00537990">
      <w:pPr>
        <w:tabs>
          <w:tab w:val="left" w:pos="5304"/>
        </w:tabs>
        <w:rPr>
          <w:rFonts w:ascii="Times New Roman" w:hAnsi="Times New Roman" w:cs="Times New Roman"/>
          <w:sz w:val="24"/>
          <w:szCs w:val="24"/>
        </w:rPr>
      </w:pPr>
      <w:r w:rsidRPr="00A46DC3">
        <w:rPr>
          <w:rFonts w:ascii="Times New Roman" w:hAnsi="Times New Roman" w:cs="Times New Roman"/>
          <w:noProof/>
          <w:sz w:val="24"/>
          <w:szCs w:val="24"/>
        </w:rPr>
        <w:drawing>
          <wp:anchor distT="0" distB="0" distL="114300" distR="114300" simplePos="0" relativeHeight="251650560" behindDoc="0" locked="0" layoutInCell="1" allowOverlap="1" wp14:anchorId="66069A76" wp14:editId="20370BD2">
            <wp:simplePos x="0" y="0"/>
            <wp:positionH relativeFrom="column">
              <wp:posOffset>1767399</wp:posOffset>
            </wp:positionH>
            <wp:positionV relativeFrom="paragraph">
              <wp:posOffset>6350</wp:posOffset>
            </wp:positionV>
            <wp:extent cx="1310754" cy="472481"/>
            <wp:effectExtent l="0" t="0" r="0" b="0"/>
            <wp:wrapSquare wrapText="bothSides"/>
            <wp:docPr id="2121418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18710" name=""/>
                    <pic:cNvPicPr/>
                  </pic:nvPicPr>
                  <pic:blipFill>
                    <a:blip r:embed="rId92">
                      <a:extLst>
                        <a:ext uri="{28A0092B-C50C-407E-A947-70E740481C1C}">
                          <a14:useLocalDpi xmlns:a14="http://schemas.microsoft.com/office/drawing/2010/main" val="0"/>
                        </a:ext>
                      </a:extLst>
                    </a:blip>
                    <a:stretch>
                      <a:fillRect/>
                    </a:stretch>
                  </pic:blipFill>
                  <pic:spPr>
                    <a:xfrm>
                      <a:off x="0" y="0"/>
                      <a:ext cx="1310754" cy="472481"/>
                    </a:xfrm>
                    <a:prstGeom prst="rect">
                      <a:avLst/>
                    </a:prstGeom>
                  </pic:spPr>
                </pic:pic>
              </a:graphicData>
            </a:graphic>
          </wp:anchor>
        </w:drawing>
      </w:r>
    </w:p>
    <w:p w14:paraId="2D5B8274" w14:textId="77777777" w:rsidR="00D4325A" w:rsidRPr="00A46DC3" w:rsidRDefault="00D4325A" w:rsidP="00383437">
      <w:pPr>
        <w:tabs>
          <w:tab w:val="left" w:pos="5304"/>
        </w:tabs>
        <w:rPr>
          <w:rFonts w:ascii="Times New Roman" w:hAnsi="Times New Roman" w:cs="Times New Roman"/>
          <w:sz w:val="24"/>
          <w:szCs w:val="24"/>
        </w:rPr>
      </w:pPr>
    </w:p>
    <w:p w14:paraId="478945CD" w14:textId="7ACD3447" w:rsidR="00383437" w:rsidRPr="00A46DC3" w:rsidRDefault="00383437" w:rsidP="00383437">
      <w:pPr>
        <w:tabs>
          <w:tab w:val="left" w:pos="5304"/>
        </w:tabs>
        <w:rPr>
          <w:rFonts w:ascii="Times New Roman" w:hAnsi="Times New Roman" w:cs="Times New Roman"/>
          <w:sz w:val="24"/>
          <w:szCs w:val="24"/>
        </w:rPr>
      </w:pPr>
      <w:r w:rsidRPr="00A46DC3">
        <w:rPr>
          <w:rFonts w:ascii="Times New Roman" w:hAnsi="Times New Roman" w:cs="Times New Roman"/>
          <w:sz w:val="24"/>
          <w:szCs w:val="24"/>
        </w:rPr>
        <w:t>where:</w:t>
      </w:r>
    </w:p>
    <w:p w14:paraId="784798F8" w14:textId="04EABF43" w:rsidR="00383437" w:rsidRPr="00A46DC3" w:rsidRDefault="00383437" w:rsidP="00383437">
      <w:pPr>
        <w:numPr>
          <w:ilvl w:val="0"/>
          <w:numId w:val="20"/>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Xi​ are the individual data points,</w:t>
      </w:r>
    </w:p>
    <w:p w14:paraId="6DC45794" w14:textId="79773312" w:rsidR="00383437" w:rsidRPr="00A46DC3" w:rsidRDefault="00383437" w:rsidP="00383437">
      <w:pPr>
        <w:numPr>
          <w:ilvl w:val="0"/>
          <w:numId w:val="20"/>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N</w:t>
      </w:r>
      <w:r w:rsidR="00E61F13" w:rsidRPr="00A46DC3">
        <w:rPr>
          <w:rFonts w:ascii="Times New Roman" w:hAnsi="Times New Roman" w:cs="Times New Roman"/>
          <w:sz w:val="24"/>
          <w:szCs w:val="24"/>
        </w:rPr>
        <w:t xml:space="preserve"> </w:t>
      </w:r>
      <w:r w:rsidRPr="00A46DC3">
        <w:rPr>
          <w:rFonts w:ascii="Times New Roman" w:hAnsi="Times New Roman" w:cs="Times New Roman"/>
          <w:sz w:val="24"/>
          <w:szCs w:val="24"/>
        </w:rPr>
        <w:t>is the total number of data points.</w:t>
      </w:r>
    </w:p>
    <w:p w14:paraId="2060C1C7" w14:textId="5EF533A3" w:rsidR="00383437" w:rsidRPr="00A46DC3" w:rsidRDefault="00383437" w:rsidP="00383437">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For example, SBI's Gross NPA values are: </w:t>
      </w:r>
      <w:r w:rsidRPr="00A46DC3">
        <w:rPr>
          <w:rFonts w:ascii="Times New Roman" w:hAnsi="Times New Roman" w:cs="Times New Roman"/>
          <w:b/>
          <w:bCs/>
          <w:sz w:val="24"/>
          <w:szCs w:val="24"/>
        </w:rPr>
        <w:t>7.53, 6.15, 5.00, 3.97, 3.14, 2.78</w:t>
      </w:r>
    </w:p>
    <w:p w14:paraId="32CA5320" w14:textId="51F79B35" w:rsidR="00FF0260" w:rsidRPr="00A46DC3" w:rsidRDefault="00FF0260" w:rsidP="00383437">
      <w:pPr>
        <w:tabs>
          <w:tab w:val="left" w:pos="5304"/>
        </w:tabs>
        <w:rPr>
          <w:rFonts w:ascii="Times New Roman" w:hAnsi="Times New Roman" w:cs="Times New Roman"/>
          <w:sz w:val="24"/>
          <w:szCs w:val="24"/>
        </w:rPr>
      </w:pPr>
      <w:r w:rsidRPr="00A46DC3">
        <w:rPr>
          <w:rFonts w:ascii="Times New Roman" w:hAnsi="Times New Roman" w:cs="Times New Roman"/>
          <w:noProof/>
          <w:sz w:val="24"/>
          <w:szCs w:val="24"/>
        </w:rPr>
        <w:lastRenderedPageBreak/>
        <w:drawing>
          <wp:anchor distT="0" distB="0" distL="114300" distR="114300" simplePos="0" relativeHeight="251655680" behindDoc="0" locked="0" layoutInCell="1" allowOverlap="1" wp14:anchorId="05BF10E4" wp14:editId="777943A9">
            <wp:simplePos x="0" y="0"/>
            <wp:positionH relativeFrom="column">
              <wp:posOffset>1004570</wp:posOffset>
            </wp:positionH>
            <wp:positionV relativeFrom="paragraph">
              <wp:posOffset>67945</wp:posOffset>
            </wp:positionV>
            <wp:extent cx="3710305" cy="466725"/>
            <wp:effectExtent l="0" t="0" r="0" b="0"/>
            <wp:wrapSquare wrapText="bothSides"/>
            <wp:docPr id="149659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93553" name=""/>
                    <pic:cNvPicPr/>
                  </pic:nvPicPr>
                  <pic:blipFill>
                    <a:blip r:embed="rId93">
                      <a:extLst>
                        <a:ext uri="{28A0092B-C50C-407E-A947-70E740481C1C}">
                          <a14:useLocalDpi xmlns:a14="http://schemas.microsoft.com/office/drawing/2010/main" val="0"/>
                        </a:ext>
                      </a:extLst>
                    </a:blip>
                    <a:stretch>
                      <a:fillRect/>
                    </a:stretch>
                  </pic:blipFill>
                  <pic:spPr>
                    <a:xfrm>
                      <a:off x="0" y="0"/>
                      <a:ext cx="3710305" cy="466725"/>
                    </a:xfrm>
                    <a:prstGeom prst="rect">
                      <a:avLst/>
                    </a:prstGeom>
                  </pic:spPr>
                </pic:pic>
              </a:graphicData>
            </a:graphic>
            <wp14:sizeRelH relativeFrom="margin">
              <wp14:pctWidth>0</wp14:pctWidth>
            </wp14:sizeRelH>
            <wp14:sizeRelV relativeFrom="margin">
              <wp14:pctHeight>0</wp14:pctHeight>
            </wp14:sizeRelV>
          </wp:anchor>
        </w:drawing>
      </w:r>
    </w:p>
    <w:p w14:paraId="3BB1E835" w14:textId="6305216D" w:rsidR="00FF0260" w:rsidRPr="00A46DC3" w:rsidRDefault="00FF0260" w:rsidP="00383437">
      <w:pPr>
        <w:tabs>
          <w:tab w:val="left" w:pos="5304"/>
        </w:tabs>
        <w:rPr>
          <w:rFonts w:ascii="Times New Roman" w:hAnsi="Times New Roman" w:cs="Times New Roman"/>
          <w:sz w:val="24"/>
          <w:szCs w:val="24"/>
        </w:rPr>
      </w:pPr>
    </w:p>
    <w:p w14:paraId="22B8D926" w14:textId="4128BB79" w:rsidR="00383437" w:rsidRPr="00A46DC3" w:rsidRDefault="005F55A9" w:rsidP="00383437">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The </w:t>
      </w:r>
      <w:r w:rsidRPr="00A46DC3">
        <w:rPr>
          <w:rFonts w:ascii="Times New Roman" w:hAnsi="Times New Roman" w:cs="Times New Roman"/>
          <w:b/>
          <w:bCs/>
          <w:sz w:val="24"/>
          <w:szCs w:val="24"/>
        </w:rPr>
        <w:t>standard deviation</w:t>
      </w:r>
      <w:r w:rsidRPr="00A46DC3">
        <w:rPr>
          <w:rFonts w:ascii="Times New Roman" w:hAnsi="Times New Roman" w:cs="Times New Roman"/>
          <w:sz w:val="24"/>
          <w:szCs w:val="24"/>
        </w:rPr>
        <w:t xml:space="preserve"> is calculated as:</w:t>
      </w:r>
    </w:p>
    <w:p w14:paraId="7C577AE6" w14:textId="005303DE" w:rsidR="00FE31E9" w:rsidRPr="00A46DC3" w:rsidRDefault="00FE31E9" w:rsidP="00383437">
      <w:pPr>
        <w:tabs>
          <w:tab w:val="left" w:pos="5304"/>
        </w:tabs>
        <w:rPr>
          <w:rFonts w:ascii="Times New Roman" w:hAnsi="Times New Roman" w:cs="Times New Roman"/>
          <w:sz w:val="24"/>
          <w:szCs w:val="24"/>
        </w:rPr>
      </w:pPr>
      <w:r w:rsidRPr="00A46DC3">
        <w:rPr>
          <w:rFonts w:ascii="Times New Roman" w:hAnsi="Times New Roman" w:cs="Times New Roman"/>
          <w:noProof/>
          <w:sz w:val="24"/>
          <w:szCs w:val="24"/>
        </w:rPr>
        <w:drawing>
          <wp:anchor distT="0" distB="0" distL="114300" distR="114300" simplePos="0" relativeHeight="251657728" behindDoc="0" locked="0" layoutInCell="1" allowOverlap="1" wp14:anchorId="76B27EFA" wp14:editId="2CFF4464">
            <wp:simplePos x="0" y="0"/>
            <wp:positionH relativeFrom="column">
              <wp:posOffset>1662493</wp:posOffset>
            </wp:positionH>
            <wp:positionV relativeFrom="paragraph">
              <wp:posOffset>52663</wp:posOffset>
            </wp:positionV>
            <wp:extent cx="2377646" cy="739204"/>
            <wp:effectExtent l="0" t="0" r="0" b="0"/>
            <wp:wrapSquare wrapText="bothSides"/>
            <wp:docPr id="78660119" name="Picture 1" descr="A math equation with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0119" name="Picture 1" descr="A math equation with a note&#10;&#10;AI-generated content may be incorrect."/>
                    <pic:cNvPicPr/>
                  </pic:nvPicPr>
                  <pic:blipFill>
                    <a:blip r:embed="rId94">
                      <a:extLst>
                        <a:ext uri="{28A0092B-C50C-407E-A947-70E740481C1C}">
                          <a14:useLocalDpi xmlns:a14="http://schemas.microsoft.com/office/drawing/2010/main" val="0"/>
                        </a:ext>
                      </a:extLst>
                    </a:blip>
                    <a:stretch>
                      <a:fillRect/>
                    </a:stretch>
                  </pic:blipFill>
                  <pic:spPr>
                    <a:xfrm>
                      <a:off x="0" y="0"/>
                      <a:ext cx="2377646" cy="739204"/>
                    </a:xfrm>
                    <a:prstGeom prst="rect">
                      <a:avLst/>
                    </a:prstGeom>
                  </pic:spPr>
                </pic:pic>
              </a:graphicData>
            </a:graphic>
          </wp:anchor>
        </w:drawing>
      </w:r>
    </w:p>
    <w:p w14:paraId="443D18EE" w14:textId="34634BB0" w:rsidR="00FE31E9" w:rsidRPr="00A46DC3" w:rsidRDefault="00FE31E9" w:rsidP="00383437">
      <w:pPr>
        <w:tabs>
          <w:tab w:val="left" w:pos="5304"/>
        </w:tabs>
        <w:rPr>
          <w:rFonts w:ascii="Times New Roman" w:hAnsi="Times New Roman" w:cs="Times New Roman"/>
          <w:sz w:val="24"/>
          <w:szCs w:val="24"/>
        </w:rPr>
      </w:pPr>
    </w:p>
    <w:p w14:paraId="4FCF79E8" w14:textId="77777777" w:rsidR="00FE31E9" w:rsidRPr="00A46DC3" w:rsidRDefault="00FE31E9" w:rsidP="00FE31E9">
      <w:pPr>
        <w:tabs>
          <w:tab w:val="left" w:pos="5304"/>
        </w:tabs>
        <w:rPr>
          <w:rFonts w:ascii="Times New Roman" w:hAnsi="Times New Roman" w:cs="Times New Roman"/>
          <w:sz w:val="24"/>
          <w:szCs w:val="24"/>
        </w:rPr>
      </w:pPr>
      <w:r w:rsidRPr="00A46DC3">
        <w:rPr>
          <w:rFonts w:ascii="Times New Roman" w:hAnsi="Times New Roman" w:cs="Times New Roman"/>
          <w:sz w:val="24"/>
          <w:szCs w:val="24"/>
        </w:rPr>
        <w:t>where:</w:t>
      </w:r>
    </w:p>
    <w:p w14:paraId="65848D6C" w14:textId="20B3E976" w:rsidR="00FE31E9" w:rsidRPr="00A46DC3" w:rsidRDefault="00FE31E9" w:rsidP="00FE31E9">
      <w:pPr>
        <w:numPr>
          <w:ilvl w:val="0"/>
          <w:numId w:val="2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Xi​ are individual values,</w:t>
      </w:r>
    </w:p>
    <w:p w14:paraId="293267C4" w14:textId="77777777" w:rsidR="00FE31E9" w:rsidRPr="00A46DC3" w:rsidRDefault="00FE31E9" w:rsidP="00FE31E9">
      <w:pPr>
        <w:numPr>
          <w:ilvl w:val="0"/>
          <w:numId w:val="2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Mean is the average of the dataset,</w:t>
      </w:r>
    </w:p>
    <w:p w14:paraId="0DC38387" w14:textId="26358F93" w:rsidR="00FE31E9" w:rsidRPr="00A46DC3" w:rsidRDefault="00FE31E9" w:rsidP="00FE31E9">
      <w:pPr>
        <w:numPr>
          <w:ilvl w:val="0"/>
          <w:numId w:val="2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N−1is used for a sample standard deviation.</w:t>
      </w:r>
    </w:p>
    <w:p w14:paraId="209983CC" w14:textId="2C28A625" w:rsidR="00FE31E9" w:rsidRPr="00A46DC3" w:rsidRDefault="00FE31E9" w:rsidP="00FE31E9">
      <w:pPr>
        <w:tabs>
          <w:tab w:val="left" w:pos="5304"/>
        </w:tabs>
        <w:rPr>
          <w:rFonts w:ascii="Times New Roman" w:hAnsi="Times New Roman" w:cs="Times New Roman"/>
          <w:sz w:val="24"/>
          <w:szCs w:val="24"/>
        </w:rPr>
      </w:pPr>
      <w:r w:rsidRPr="00A46DC3">
        <w:rPr>
          <w:rFonts w:ascii="Times New Roman" w:hAnsi="Times New Roman" w:cs="Times New Roman"/>
          <w:sz w:val="24"/>
          <w:szCs w:val="24"/>
        </w:rPr>
        <w:t>For SBI’s Gross NPA:</w:t>
      </w:r>
    </w:p>
    <w:p w14:paraId="3C61F3F7" w14:textId="4FD276A5" w:rsidR="00FE31E9" w:rsidRPr="00A46DC3" w:rsidRDefault="00FE31E9" w:rsidP="00FE31E9">
      <w:pPr>
        <w:numPr>
          <w:ilvl w:val="0"/>
          <w:numId w:val="22"/>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Find deviations from the mean </w:t>
      </w:r>
      <w:r w:rsidR="00E8454D" w:rsidRPr="00A46DC3">
        <w:rPr>
          <w:rFonts w:ascii="Times New Roman" w:hAnsi="Times New Roman" w:cs="Times New Roman"/>
          <w:sz w:val="24"/>
          <w:szCs w:val="24"/>
        </w:rPr>
        <w:t>(Xi-mean):</w:t>
      </w:r>
      <w:r w:rsidR="001E0AAC" w:rsidRPr="00A46DC3">
        <w:rPr>
          <w:rFonts w:ascii="Times New Roman" w:hAnsi="Times New Roman" w:cs="Times New Roman"/>
          <w:sz w:val="24"/>
          <w:szCs w:val="24"/>
        </w:rPr>
        <w:t xml:space="preserve"> </w:t>
      </w:r>
    </w:p>
    <w:p w14:paraId="269D6DB0" w14:textId="43749664" w:rsidR="00056826" w:rsidRPr="00A46DC3" w:rsidRDefault="00056826" w:rsidP="00056826">
      <w:pPr>
        <w:tabs>
          <w:tab w:val="left" w:pos="5304"/>
        </w:tabs>
        <w:ind w:left="720"/>
        <w:rPr>
          <w:rFonts w:ascii="Times New Roman" w:hAnsi="Times New Roman" w:cs="Times New Roman"/>
          <w:sz w:val="24"/>
          <w:szCs w:val="24"/>
        </w:rPr>
      </w:pPr>
      <w:r w:rsidRPr="00A46DC3">
        <w:rPr>
          <w:rFonts w:ascii="Times New Roman" w:hAnsi="Times New Roman" w:cs="Times New Roman"/>
          <w:noProof/>
          <w:sz w:val="24"/>
          <w:szCs w:val="24"/>
        </w:rPr>
        <w:drawing>
          <wp:inline distT="0" distB="0" distL="0" distR="0" wp14:anchorId="6ABA5849" wp14:editId="6C3478F0">
            <wp:extent cx="5731510" cy="278765"/>
            <wp:effectExtent l="0" t="0" r="0" b="0"/>
            <wp:docPr id="804365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65595" name=""/>
                    <pic:cNvPicPr/>
                  </pic:nvPicPr>
                  <pic:blipFill>
                    <a:blip r:embed="rId95"/>
                    <a:stretch>
                      <a:fillRect/>
                    </a:stretch>
                  </pic:blipFill>
                  <pic:spPr>
                    <a:xfrm>
                      <a:off x="0" y="0"/>
                      <a:ext cx="5731510" cy="278765"/>
                    </a:xfrm>
                    <a:prstGeom prst="rect">
                      <a:avLst/>
                    </a:prstGeom>
                  </pic:spPr>
                </pic:pic>
              </a:graphicData>
            </a:graphic>
          </wp:inline>
        </w:drawing>
      </w:r>
    </w:p>
    <w:p w14:paraId="14D90FD1" w14:textId="77777777" w:rsidR="00FE31E9" w:rsidRPr="00A46DC3" w:rsidRDefault="00FE31E9" w:rsidP="00FE31E9">
      <w:pPr>
        <w:numPr>
          <w:ilvl w:val="0"/>
          <w:numId w:val="22"/>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Square each deviation.</w:t>
      </w:r>
    </w:p>
    <w:p w14:paraId="66408A88" w14:textId="77777777" w:rsidR="00FE31E9" w:rsidRPr="00A46DC3" w:rsidRDefault="00FE31E9" w:rsidP="00FE31E9">
      <w:pPr>
        <w:numPr>
          <w:ilvl w:val="0"/>
          <w:numId w:val="22"/>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Sum the squared deviations.</w:t>
      </w:r>
    </w:p>
    <w:p w14:paraId="550F79CB" w14:textId="18FD1D66" w:rsidR="00FE31E9" w:rsidRPr="00A46DC3" w:rsidRDefault="00FE31E9" w:rsidP="00FE31E9">
      <w:pPr>
        <w:numPr>
          <w:ilvl w:val="0"/>
          <w:numId w:val="22"/>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Divide by N−1=5 (since we are calculating sample SD).</w:t>
      </w:r>
    </w:p>
    <w:p w14:paraId="4DC03A49" w14:textId="77777777" w:rsidR="00FE31E9" w:rsidRPr="00A46DC3" w:rsidRDefault="00FE31E9" w:rsidP="00FE31E9">
      <w:pPr>
        <w:numPr>
          <w:ilvl w:val="0"/>
          <w:numId w:val="22"/>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Take the square root.</w:t>
      </w:r>
    </w:p>
    <w:p w14:paraId="6288DEAE" w14:textId="77777777" w:rsidR="00FE31E9" w:rsidRPr="00A46DC3" w:rsidRDefault="00FE31E9" w:rsidP="00FE31E9">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This gives </w:t>
      </w:r>
      <w:r w:rsidRPr="00A46DC3">
        <w:rPr>
          <w:rFonts w:ascii="Times New Roman" w:hAnsi="Times New Roman" w:cs="Times New Roman"/>
          <w:b/>
          <w:bCs/>
          <w:sz w:val="24"/>
          <w:szCs w:val="24"/>
        </w:rPr>
        <w:t>SD = 1.83</w:t>
      </w:r>
      <w:r w:rsidRPr="00A46DC3">
        <w:rPr>
          <w:rFonts w:ascii="Times New Roman" w:hAnsi="Times New Roman" w:cs="Times New Roman"/>
          <w:sz w:val="24"/>
          <w:szCs w:val="24"/>
        </w:rPr>
        <w:t xml:space="preserve"> for SBI’s Gross NPA.</w:t>
      </w:r>
    </w:p>
    <w:p w14:paraId="4CB06D1C" w14:textId="6AF5C767" w:rsidR="006F0B1E" w:rsidRPr="00A46DC3" w:rsidRDefault="0029469C" w:rsidP="00383437">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The </w:t>
      </w:r>
      <w:r w:rsidRPr="00A46DC3">
        <w:rPr>
          <w:rFonts w:ascii="Times New Roman" w:hAnsi="Times New Roman" w:cs="Times New Roman"/>
          <w:b/>
          <w:bCs/>
          <w:sz w:val="24"/>
          <w:szCs w:val="24"/>
        </w:rPr>
        <w:t>coefficient of variation</w:t>
      </w:r>
      <w:r w:rsidRPr="00A46DC3">
        <w:rPr>
          <w:rFonts w:ascii="Times New Roman" w:hAnsi="Times New Roman" w:cs="Times New Roman"/>
          <w:sz w:val="24"/>
          <w:szCs w:val="24"/>
        </w:rPr>
        <w:t xml:space="preserve"> is calculated as follows:</w:t>
      </w:r>
    </w:p>
    <w:p w14:paraId="739A88AD" w14:textId="20EA2E55" w:rsidR="00FC315D" w:rsidRPr="00A46DC3" w:rsidRDefault="00FC315D" w:rsidP="00A95DED">
      <w:pPr>
        <w:tabs>
          <w:tab w:val="left" w:pos="5304"/>
        </w:tabs>
        <w:rPr>
          <w:rFonts w:ascii="Times New Roman" w:hAnsi="Times New Roman" w:cs="Times New Roman"/>
          <w:sz w:val="24"/>
          <w:szCs w:val="24"/>
        </w:rPr>
      </w:pPr>
      <w:r w:rsidRPr="00A46DC3">
        <w:rPr>
          <w:rFonts w:ascii="Times New Roman" w:hAnsi="Times New Roman" w:cs="Times New Roman"/>
          <w:noProof/>
          <w:sz w:val="24"/>
          <w:szCs w:val="24"/>
        </w:rPr>
        <w:drawing>
          <wp:anchor distT="0" distB="0" distL="114300" distR="114300" simplePos="0" relativeHeight="251658752" behindDoc="0" locked="0" layoutInCell="1" allowOverlap="1" wp14:anchorId="2A221ABE" wp14:editId="3CB706E3">
            <wp:simplePos x="0" y="0"/>
            <wp:positionH relativeFrom="column">
              <wp:posOffset>1915795</wp:posOffset>
            </wp:positionH>
            <wp:positionV relativeFrom="paragraph">
              <wp:posOffset>26943</wp:posOffset>
            </wp:positionV>
            <wp:extent cx="1889924" cy="434378"/>
            <wp:effectExtent l="0" t="0" r="0" b="0"/>
            <wp:wrapSquare wrapText="bothSides"/>
            <wp:docPr id="99072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21396" name=""/>
                    <pic:cNvPicPr/>
                  </pic:nvPicPr>
                  <pic:blipFill>
                    <a:blip r:embed="rId96">
                      <a:extLst>
                        <a:ext uri="{28A0092B-C50C-407E-A947-70E740481C1C}">
                          <a14:useLocalDpi xmlns:a14="http://schemas.microsoft.com/office/drawing/2010/main" val="0"/>
                        </a:ext>
                      </a:extLst>
                    </a:blip>
                    <a:stretch>
                      <a:fillRect/>
                    </a:stretch>
                  </pic:blipFill>
                  <pic:spPr>
                    <a:xfrm>
                      <a:off x="0" y="0"/>
                      <a:ext cx="1889924" cy="434378"/>
                    </a:xfrm>
                    <a:prstGeom prst="rect">
                      <a:avLst/>
                    </a:prstGeom>
                  </pic:spPr>
                </pic:pic>
              </a:graphicData>
            </a:graphic>
          </wp:anchor>
        </w:drawing>
      </w:r>
    </w:p>
    <w:p w14:paraId="0E0D144A" w14:textId="1EFEDF42" w:rsidR="00FC315D" w:rsidRPr="00A46DC3" w:rsidRDefault="00FC315D" w:rsidP="00A95DED">
      <w:pPr>
        <w:tabs>
          <w:tab w:val="left" w:pos="5304"/>
        </w:tabs>
        <w:rPr>
          <w:rFonts w:ascii="Times New Roman" w:hAnsi="Times New Roman" w:cs="Times New Roman"/>
          <w:sz w:val="24"/>
          <w:szCs w:val="24"/>
        </w:rPr>
      </w:pPr>
    </w:p>
    <w:p w14:paraId="31FC5755" w14:textId="128E4218" w:rsidR="00A95DED" w:rsidRPr="00A46DC3" w:rsidRDefault="005260A2" w:rsidP="00A95DED">
      <w:pPr>
        <w:tabs>
          <w:tab w:val="left" w:pos="5304"/>
        </w:tabs>
        <w:rPr>
          <w:rFonts w:ascii="Times New Roman" w:hAnsi="Times New Roman" w:cs="Times New Roman"/>
          <w:sz w:val="24"/>
          <w:szCs w:val="24"/>
        </w:rPr>
      </w:pPr>
      <w:r w:rsidRPr="00A46DC3">
        <w:rPr>
          <w:rFonts w:ascii="Times New Roman" w:hAnsi="Times New Roman" w:cs="Times New Roman"/>
          <w:sz w:val="24"/>
          <w:szCs w:val="24"/>
        </w:rPr>
        <w:t>For SBI’s Gross NPA:</w:t>
      </w:r>
    </w:p>
    <w:p w14:paraId="5E9B9B17" w14:textId="0C19FE7B" w:rsidR="00D93C53" w:rsidRPr="00A46DC3" w:rsidRDefault="00D93C53" w:rsidP="00A95DED">
      <w:pPr>
        <w:tabs>
          <w:tab w:val="left" w:pos="5304"/>
        </w:tabs>
        <w:rPr>
          <w:rFonts w:ascii="Times New Roman" w:hAnsi="Times New Roman" w:cs="Times New Roman"/>
          <w:sz w:val="24"/>
          <w:szCs w:val="24"/>
        </w:rPr>
      </w:pPr>
      <w:r w:rsidRPr="00A46DC3">
        <w:rPr>
          <w:rFonts w:ascii="Times New Roman" w:hAnsi="Times New Roman" w:cs="Times New Roman"/>
          <w:noProof/>
          <w:sz w:val="24"/>
          <w:szCs w:val="24"/>
        </w:rPr>
        <w:drawing>
          <wp:anchor distT="0" distB="0" distL="114300" distR="114300" simplePos="0" relativeHeight="251664896" behindDoc="0" locked="0" layoutInCell="1" allowOverlap="1" wp14:anchorId="51043D66" wp14:editId="03FFA45A">
            <wp:simplePos x="0" y="0"/>
            <wp:positionH relativeFrom="column">
              <wp:posOffset>1556385</wp:posOffset>
            </wp:positionH>
            <wp:positionV relativeFrom="paragraph">
              <wp:posOffset>10428</wp:posOffset>
            </wp:positionV>
            <wp:extent cx="2606266" cy="548688"/>
            <wp:effectExtent l="0" t="0" r="0" b="0"/>
            <wp:wrapSquare wrapText="bothSides"/>
            <wp:docPr id="41621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11541" name=""/>
                    <pic:cNvPicPr/>
                  </pic:nvPicPr>
                  <pic:blipFill>
                    <a:blip r:embed="rId97">
                      <a:extLst>
                        <a:ext uri="{28A0092B-C50C-407E-A947-70E740481C1C}">
                          <a14:useLocalDpi xmlns:a14="http://schemas.microsoft.com/office/drawing/2010/main" val="0"/>
                        </a:ext>
                      </a:extLst>
                    </a:blip>
                    <a:stretch>
                      <a:fillRect/>
                    </a:stretch>
                  </pic:blipFill>
                  <pic:spPr>
                    <a:xfrm>
                      <a:off x="0" y="0"/>
                      <a:ext cx="2606266" cy="548688"/>
                    </a:xfrm>
                    <a:prstGeom prst="rect">
                      <a:avLst/>
                    </a:prstGeom>
                  </pic:spPr>
                </pic:pic>
              </a:graphicData>
            </a:graphic>
          </wp:anchor>
        </w:drawing>
      </w:r>
    </w:p>
    <w:p w14:paraId="299BC212" w14:textId="6C33EF11" w:rsidR="00D93C53" w:rsidRPr="00A46DC3" w:rsidRDefault="00D93C53" w:rsidP="00A95DED">
      <w:pPr>
        <w:tabs>
          <w:tab w:val="left" w:pos="5304"/>
        </w:tabs>
        <w:rPr>
          <w:rFonts w:ascii="Times New Roman" w:hAnsi="Times New Roman" w:cs="Times New Roman"/>
          <w:sz w:val="24"/>
          <w:szCs w:val="24"/>
        </w:rPr>
      </w:pPr>
    </w:p>
    <w:p w14:paraId="5BA24019" w14:textId="00B7A993" w:rsidR="0036773A" w:rsidRPr="00A46DC3" w:rsidRDefault="00D93C53" w:rsidP="00A95DED">
      <w:pPr>
        <w:tabs>
          <w:tab w:val="left" w:pos="5304"/>
        </w:tabs>
        <w:rPr>
          <w:rFonts w:ascii="Times New Roman" w:hAnsi="Times New Roman" w:cs="Times New Roman"/>
          <w:sz w:val="24"/>
          <w:szCs w:val="24"/>
        </w:rPr>
      </w:pPr>
      <w:r w:rsidRPr="00A46DC3">
        <w:rPr>
          <w:rFonts w:ascii="Times New Roman" w:hAnsi="Times New Roman" w:cs="Times New Roman"/>
          <w:sz w:val="24"/>
          <w:szCs w:val="24"/>
        </w:rPr>
        <w:t>Similarly, it is calc</w:t>
      </w:r>
      <w:r w:rsidR="00FE5A26" w:rsidRPr="00A46DC3">
        <w:rPr>
          <w:rFonts w:ascii="Times New Roman" w:hAnsi="Times New Roman" w:cs="Times New Roman"/>
          <w:sz w:val="24"/>
          <w:szCs w:val="24"/>
        </w:rPr>
        <w:t>ulated for other banks as well as for Net NPA.</w:t>
      </w:r>
    </w:p>
    <w:p w14:paraId="07573CE8" w14:textId="77777777" w:rsidR="00CC2B7B" w:rsidRPr="00A46DC3" w:rsidRDefault="00CC2B7B" w:rsidP="00A95DED">
      <w:pPr>
        <w:tabs>
          <w:tab w:val="left" w:pos="5304"/>
        </w:tabs>
        <w:rPr>
          <w:rFonts w:ascii="Times New Roman" w:hAnsi="Times New Roman" w:cs="Times New Roman"/>
          <w:sz w:val="24"/>
          <w:szCs w:val="24"/>
        </w:rPr>
      </w:pPr>
    </w:p>
    <w:p w14:paraId="785D3E4E" w14:textId="77777777" w:rsidR="00CC2B7B" w:rsidRPr="00A46DC3" w:rsidRDefault="00CC2B7B" w:rsidP="00A95DED">
      <w:pPr>
        <w:tabs>
          <w:tab w:val="left" w:pos="5304"/>
        </w:tabs>
        <w:rPr>
          <w:rFonts w:ascii="Times New Roman" w:hAnsi="Times New Roman" w:cs="Times New Roman"/>
          <w:sz w:val="24"/>
          <w:szCs w:val="24"/>
        </w:rPr>
      </w:pPr>
    </w:p>
    <w:p w14:paraId="61756FBE" w14:textId="5E69CA6B" w:rsidR="00CC2B7B" w:rsidRPr="00A46DC3" w:rsidRDefault="00CC2B7B" w:rsidP="00A95DED">
      <w:pPr>
        <w:tabs>
          <w:tab w:val="left" w:pos="5304"/>
        </w:tabs>
        <w:rPr>
          <w:rFonts w:ascii="Times New Roman" w:hAnsi="Times New Roman" w:cs="Times New Roman"/>
          <w:sz w:val="24"/>
          <w:szCs w:val="24"/>
        </w:rPr>
      </w:pPr>
    </w:p>
    <w:p w14:paraId="7EA234FD" w14:textId="77777777" w:rsidR="00CC2B7B" w:rsidRPr="00A46DC3" w:rsidRDefault="00CC2B7B" w:rsidP="00A95DED">
      <w:pPr>
        <w:tabs>
          <w:tab w:val="left" w:pos="5304"/>
        </w:tabs>
        <w:rPr>
          <w:rFonts w:ascii="Times New Roman" w:hAnsi="Times New Roman" w:cs="Times New Roman"/>
          <w:sz w:val="24"/>
          <w:szCs w:val="24"/>
        </w:rPr>
      </w:pPr>
    </w:p>
    <w:p w14:paraId="03281603" w14:textId="77777777" w:rsidR="00CC2B7B" w:rsidRPr="00A46DC3" w:rsidRDefault="00CC2B7B" w:rsidP="00A95DED">
      <w:pPr>
        <w:tabs>
          <w:tab w:val="left" w:pos="5304"/>
        </w:tabs>
        <w:rPr>
          <w:rFonts w:ascii="Times New Roman" w:hAnsi="Times New Roman" w:cs="Times New Roman"/>
          <w:sz w:val="24"/>
          <w:szCs w:val="24"/>
        </w:rPr>
      </w:pPr>
    </w:p>
    <w:p w14:paraId="6083B1FE" w14:textId="77777777" w:rsidR="00CC2B7B" w:rsidRPr="00A46DC3" w:rsidRDefault="00CC2B7B" w:rsidP="00A95DED">
      <w:pPr>
        <w:tabs>
          <w:tab w:val="left" w:pos="5304"/>
        </w:tabs>
        <w:rPr>
          <w:rFonts w:ascii="Times New Roman" w:hAnsi="Times New Roman" w:cs="Times New Roman"/>
          <w:sz w:val="24"/>
          <w:szCs w:val="24"/>
        </w:rPr>
      </w:pPr>
    </w:p>
    <w:p w14:paraId="1F30793D" w14:textId="77777777" w:rsidR="00CC2B7B" w:rsidRPr="00A46DC3" w:rsidRDefault="00CC2B7B" w:rsidP="00A95DED">
      <w:pPr>
        <w:tabs>
          <w:tab w:val="left" w:pos="5304"/>
        </w:tabs>
        <w:rPr>
          <w:rFonts w:ascii="Times New Roman" w:hAnsi="Times New Roman" w:cs="Times New Roman"/>
          <w:sz w:val="24"/>
          <w:szCs w:val="24"/>
        </w:rPr>
      </w:pPr>
    </w:p>
    <w:p w14:paraId="22D728C0" w14:textId="77777777" w:rsidR="00FD261B" w:rsidRPr="00A46DC3" w:rsidRDefault="00FD261B" w:rsidP="00A95DED">
      <w:pPr>
        <w:tabs>
          <w:tab w:val="left" w:pos="5304"/>
        </w:tabs>
        <w:rPr>
          <w:rFonts w:ascii="Times New Roman" w:hAnsi="Times New Roman" w:cs="Times New Roman"/>
          <w:sz w:val="24"/>
          <w:szCs w:val="24"/>
        </w:rPr>
      </w:pPr>
    </w:p>
    <w:p w14:paraId="511AE9D6" w14:textId="77777777" w:rsidR="00D91457" w:rsidRPr="00A46DC3" w:rsidRDefault="00D91457" w:rsidP="00A95DED">
      <w:pPr>
        <w:tabs>
          <w:tab w:val="left" w:pos="5304"/>
        </w:tabs>
        <w:rPr>
          <w:rFonts w:ascii="Times New Roman" w:hAnsi="Times New Roman" w:cs="Times New Roman"/>
          <w:sz w:val="24"/>
          <w:szCs w:val="24"/>
        </w:rPr>
      </w:pPr>
    </w:p>
    <w:p w14:paraId="312A8AD9" w14:textId="77777777" w:rsidR="00FD261B" w:rsidRPr="00A46DC3" w:rsidRDefault="00FD261B" w:rsidP="00A95DED">
      <w:pPr>
        <w:tabs>
          <w:tab w:val="left" w:pos="5304"/>
        </w:tabs>
        <w:rPr>
          <w:rFonts w:ascii="Times New Roman" w:hAnsi="Times New Roman" w:cs="Times New Roman"/>
          <w:sz w:val="24"/>
          <w:szCs w:val="24"/>
        </w:rPr>
      </w:pPr>
    </w:p>
    <w:p w14:paraId="2F2BB4AA" w14:textId="77777777" w:rsidR="00FD261B" w:rsidRPr="00A46DC3" w:rsidRDefault="00FD261B" w:rsidP="00A95DED">
      <w:pPr>
        <w:tabs>
          <w:tab w:val="left" w:pos="5304"/>
        </w:tabs>
        <w:rPr>
          <w:rFonts w:ascii="Times New Roman" w:hAnsi="Times New Roman" w:cs="Times New Roman"/>
          <w:sz w:val="24"/>
          <w:szCs w:val="24"/>
        </w:rPr>
      </w:pPr>
    </w:p>
    <w:p w14:paraId="645A14C2" w14:textId="77777777" w:rsidR="00AD3E1D" w:rsidRPr="00A46DC3" w:rsidRDefault="00AD3E1D" w:rsidP="00A95DED">
      <w:pPr>
        <w:tabs>
          <w:tab w:val="left" w:pos="5304"/>
        </w:tabs>
        <w:rPr>
          <w:rFonts w:ascii="Times New Roman" w:hAnsi="Times New Roman" w:cs="Times New Roman"/>
          <w:sz w:val="24"/>
          <w:szCs w:val="24"/>
        </w:rPr>
      </w:pPr>
    </w:p>
    <w:p w14:paraId="1F268FF9" w14:textId="77777777" w:rsidR="00903EB6" w:rsidRPr="00A46DC3" w:rsidRDefault="00903EB6" w:rsidP="00A95DED">
      <w:pPr>
        <w:tabs>
          <w:tab w:val="left" w:pos="5304"/>
        </w:tabs>
        <w:rPr>
          <w:rFonts w:ascii="Times New Roman" w:hAnsi="Times New Roman" w:cs="Times New Roman"/>
          <w:sz w:val="24"/>
          <w:szCs w:val="24"/>
        </w:rPr>
      </w:pPr>
    </w:p>
    <w:p w14:paraId="0A1978CC" w14:textId="77777777" w:rsidR="00903EB6" w:rsidRPr="00A46DC3" w:rsidRDefault="00903EB6" w:rsidP="00A95DED">
      <w:pPr>
        <w:tabs>
          <w:tab w:val="left" w:pos="5304"/>
        </w:tabs>
        <w:rPr>
          <w:rFonts w:ascii="Times New Roman" w:hAnsi="Times New Roman" w:cs="Times New Roman"/>
          <w:sz w:val="24"/>
          <w:szCs w:val="24"/>
        </w:rPr>
      </w:pPr>
    </w:p>
    <w:p w14:paraId="29BEF485" w14:textId="77777777" w:rsidR="00903EB6" w:rsidRPr="00A46DC3" w:rsidRDefault="00903EB6" w:rsidP="00A95DED">
      <w:pPr>
        <w:tabs>
          <w:tab w:val="left" w:pos="5304"/>
        </w:tabs>
        <w:rPr>
          <w:rFonts w:ascii="Times New Roman" w:hAnsi="Times New Roman" w:cs="Times New Roman"/>
          <w:sz w:val="24"/>
          <w:szCs w:val="24"/>
        </w:rPr>
      </w:pPr>
    </w:p>
    <w:p w14:paraId="1D95508C" w14:textId="77777777" w:rsidR="00903EB6" w:rsidRPr="00A46DC3" w:rsidRDefault="00903EB6" w:rsidP="00A95DED">
      <w:pPr>
        <w:tabs>
          <w:tab w:val="left" w:pos="5304"/>
        </w:tabs>
        <w:rPr>
          <w:rFonts w:ascii="Times New Roman" w:hAnsi="Times New Roman" w:cs="Times New Roman"/>
          <w:sz w:val="24"/>
          <w:szCs w:val="24"/>
        </w:rPr>
      </w:pPr>
    </w:p>
    <w:p w14:paraId="1D758F68" w14:textId="77777777" w:rsidR="00903EB6" w:rsidRPr="00A46DC3" w:rsidRDefault="00903EB6" w:rsidP="00A95DED">
      <w:pPr>
        <w:tabs>
          <w:tab w:val="left" w:pos="5304"/>
        </w:tabs>
        <w:rPr>
          <w:rFonts w:ascii="Times New Roman" w:hAnsi="Times New Roman" w:cs="Times New Roman"/>
          <w:sz w:val="24"/>
          <w:szCs w:val="24"/>
        </w:rPr>
      </w:pPr>
    </w:p>
    <w:p w14:paraId="46890553" w14:textId="77777777" w:rsidR="00903EB6" w:rsidRPr="00A46DC3" w:rsidRDefault="00903EB6" w:rsidP="00A95DED">
      <w:pPr>
        <w:tabs>
          <w:tab w:val="left" w:pos="5304"/>
        </w:tabs>
        <w:rPr>
          <w:rFonts w:ascii="Times New Roman" w:hAnsi="Times New Roman" w:cs="Times New Roman"/>
          <w:sz w:val="24"/>
          <w:szCs w:val="24"/>
        </w:rPr>
      </w:pPr>
    </w:p>
    <w:p w14:paraId="7C27954B" w14:textId="77777777" w:rsidR="00903EB6" w:rsidRPr="00A46DC3" w:rsidRDefault="00903EB6" w:rsidP="00A95DED">
      <w:pPr>
        <w:tabs>
          <w:tab w:val="left" w:pos="5304"/>
        </w:tabs>
        <w:rPr>
          <w:rFonts w:ascii="Times New Roman" w:hAnsi="Times New Roman" w:cs="Times New Roman"/>
          <w:sz w:val="24"/>
          <w:szCs w:val="24"/>
        </w:rPr>
      </w:pPr>
    </w:p>
    <w:p w14:paraId="685A72C4" w14:textId="77777777" w:rsidR="00903EB6" w:rsidRPr="00A46DC3" w:rsidRDefault="00903EB6" w:rsidP="00A95DED">
      <w:pPr>
        <w:tabs>
          <w:tab w:val="left" w:pos="5304"/>
        </w:tabs>
        <w:rPr>
          <w:rFonts w:ascii="Times New Roman" w:hAnsi="Times New Roman" w:cs="Times New Roman"/>
          <w:sz w:val="24"/>
          <w:szCs w:val="24"/>
        </w:rPr>
      </w:pPr>
    </w:p>
    <w:p w14:paraId="026A3EC4" w14:textId="77777777" w:rsidR="00903EB6" w:rsidRPr="00A46DC3" w:rsidRDefault="00903EB6" w:rsidP="00A95DED">
      <w:pPr>
        <w:tabs>
          <w:tab w:val="left" w:pos="5304"/>
        </w:tabs>
        <w:rPr>
          <w:rFonts w:ascii="Times New Roman" w:hAnsi="Times New Roman" w:cs="Times New Roman"/>
          <w:sz w:val="24"/>
          <w:szCs w:val="24"/>
        </w:rPr>
      </w:pPr>
    </w:p>
    <w:p w14:paraId="4E046BA1" w14:textId="77777777" w:rsidR="00903EB6" w:rsidRPr="00A46DC3" w:rsidRDefault="00903EB6" w:rsidP="00A95DED">
      <w:pPr>
        <w:tabs>
          <w:tab w:val="left" w:pos="5304"/>
        </w:tabs>
        <w:rPr>
          <w:rFonts w:ascii="Times New Roman" w:hAnsi="Times New Roman" w:cs="Times New Roman"/>
          <w:sz w:val="24"/>
          <w:szCs w:val="24"/>
        </w:rPr>
      </w:pPr>
    </w:p>
    <w:p w14:paraId="4D26E82E" w14:textId="77777777" w:rsidR="00903EB6" w:rsidRPr="00A46DC3" w:rsidRDefault="00903EB6" w:rsidP="00A95DED">
      <w:pPr>
        <w:tabs>
          <w:tab w:val="left" w:pos="5304"/>
        </w:tabs>
        <w:rPr>
          <w:rFonts w:ascii="Times New Roman" w:hAnsi="Times New Roman" w:cs="Times New Roman"/>
          <w:sz w:val="24"/>
          <w:szCs w:val="24"/>
        </w:rPr>
      </w:pPr>
    </w:p>
    <w:p w14:paraId="45057901" w14:textId="77777777" w:rsidR="00903EB6" w:rsidRPr="00A46DC3" w:rsidRDefault="00903EB6" w:rsidP="00A95DED">
      <w:pPr>
        <w:tabs>
          <w:tab w:val="left" w:pos="5304"/>
        </w:tabs>
        <w:rPr>
          <w:rFonts w:ascii="Times New Roman" w:hAnsi="Times New Roman" w:cs="Times New Roman"/>
          <w:sz w:val="24"/>
          <w:szCs w:val="24"/>
        </w:rPr>
      </w:pPr>
    </w:p>
    <w:p w14:paraId="61EFA0B9" w14:textId="77777777" w:rsidR="00903EB6" w:rsidRPr="00A46DC3" w:rsidRDefault="00903EB6" w:rsidP="00A95DED">
      <w:pPr>
        <w:tabs>
          <w:tab w:val="left" w:pos="5304"/>
        </w:tabs>
        <w:rPr>
          <w:rFonts w:ascii="Times New Roman" w:hAnsi="Times New Roman" w:cs="Times New Roman"/>
          <w:sz w:val="24"/>
          <w:szCs w:val="24"/>
        </w:rPr>
      </w:pPr>
    </w:p>
    <w:p w14:paraId="2D1662B4" w14:textId="77777777" w:rsidR="00903EB6" w:rsidRPr="00A46DC3" w:rsidRDefault="00903EB6" w:rsidP="00A95DED">
      <w:pPr>
        <w:tabs>
          <w:tab w:val="left" w:pos="5304"/>
        </w:tabs>
        <w:rPr>
          <w:rFonts w:ascii="Times New Roman" w:hAnsi="Times New Roman" w:cs="Times New Roman"/>
          <w:sz w:val="24"/>
          <w:szCs w:val="24"/>
        </w:rPr>
      </w:pPr>
    </w:p>
    <w:p w14:paraId="6D1CBE7B" w14:textId="77777777" w:rsidR="00903EB6" w:rsidRPr="00A46DC3" w:rsidRDefault="00903EB6" w:rsidP="00A95DED">
      <w:pPr>
        <w:tabs>
          <w:tab w:val="left" w:pos="5304"/>
        </w:tabs>
        <w:rPr>
          <w:rFonts w:ascii="Times New Roman" w:hAnsi="Times New Roman" w:cs="Times New Roman"/>
          <w:sz w:val="24"/>
          <w:szCs w:val="24"/>
        </w:rPr>
      </w:pPr>
    </w:p>
    <w:p w14:paraId="641DF6DC" w14:textId="77777777" w:rsidR="00CC2B7B" w:rsidRPr="00A46DC3" w:rsidRDefault="00CC2B7B" w:rsidP="00A95DED">
      <w:pPr>
        <w:tabs>
          <w:tab w:val="left" w:pos="5304"/>
        </w:tabs>
        <w:rPr>
          <w:rFonts w:ascii="Times New Roman" w:hAnsi="Times New Roman" w:cs="Times New Roman"/>
          <w:sz w:val="24"/>
          <w:szCs w:val="24"/>
        </w:rPr>
      </w:pPr>
    </w:p>
    <w:p w14:paraId="791A604A" w14:textId="77777777" w:rsidR="00F648A7" w:rsidRPr="00A46DC3" w:rsidRDefault="00F648A7" w:rsidP="00A95DED">
      <w:pPr>
        <w:tabs>
          <w:tab w:val="left" w:pos="5304"/>
        </w:tabs>
        <w:rPr>
          <w:rFonts w:ascii="Times New Roman" w:hAnsi="Times New Roman" w:cs="Times New Roman"/>
          <w:sz w:val="24"/>
          <w:szCs w:val="24"/>
        </w:rPr>
      </w:pPr>
    </w:p>
    <w:p w14:paraId="33F17FE4" w14:textId="0081099D" w:rsidR="00CC2B7B" w:rsidRPr="00A46DC3" w:rsidRDefault="00D20AD3" w:rsidP="00D20AD3">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 xml:space="preserve">CHAPTER 5: </w:t>
      </w:r>
      <w:r w:rsidR="00AD3E1D" w:rsidRPr="00A46DC3">
        <w:rPr>
          <w:rFonts w:ascii="Times New Roman" w:hAnsi="Times New Roman" w:cs="Times New Roman"/>
          <w:b/>
          <w:bCs/>
          <w:sz w:val="24"/>
          <w:szCs w:val="24"/>
        </w:rPr>
        <w:t>SUMMARY, FINDINGS, RECOMMENDATIONS AND CONCLUSION</w:t>
      </w:r>
    </w:p>
    <w:p w14:paraId="37002018" w14:textId="77777777" w:rsidR="00AD3E1D" w:rsidRPr="00A46DC3" w:rsidRDefault="00AD3E1D" w:rsidP="00D20AD3">
      <w:pPr>
        <w:tabs>
          <w:tab w:val="left" w:pos="5304"/>
        </w:tabs>
        <w:jc w:val="center"/>
        <w:rPr>
          <w:rFonts w:ascii="Times New Roman" w:hAnsi="Times New Roman" w:cs="Times New Roman"/>
          <w:b/>
          <w:bCs/>
          <w:sz w:val="24"/>
          <w:szCs w:val="24"/>
        </w:rPr>
      </w:pPr>
    </w:p>
    <w:p w14:paraId="049BEDD6" w14:textId="77777777" w:rsidR="00AD3E1D" w:rsidRPr="00A46DC3" w:rsidRDefault="00AD3E1D" w:rsidP="00D20AD3">
      <w:pPr>
        <w:tabs>
          <w:tab w:val="left" w:pos="5304"/>
        </w:tabs>
        <w:jc w:val="center"/>
        <w:rPr>
          <w:rFonts w:ascii="Times New Roman" w:hAnsi="Times New Roman" w:cs="Times New Roman"/>
          <w:b/>
          <w:bCs/>
          <w:sz w:val="24"/>
          <w:szCs w:val="24"/>
        </w:rPr>
      </w:pPr>
    </w:p>
    <w:p w14:paraId="2F5E979F" w14:textId="77777777" w:rsidR="00AD3E1D" w:rsidRPr="00A46DC3" w:rsidRDefault="00AD3E1D" w:rsidP="00D20AD3">
      <w:pPr>
        <w:tabs>
          <w:tab w:val="left" w:pos="5304"/>
        </w:tabs>
        <w:jc w:val="center"/>
        <w:rPr>
          <w:rFonts w:ascii="Times New Roman" w:hAnsi="Times New Roman" w:cs="Times New Roman"/>
          <w:b/>
          <w:bCs/>
          <w:sz w:val="24"/>
          <w:szCs w:val="24"/>
        </w:rPr>
      </w:pPr>
    </w:p>
    <w:p w14:paraId="1512F997" w14:textId="77777777" w:rsidR="00AD3E1D" w:rsidRPr="00A46DC3" w:rsidRDefault="00AD3E1D" w:rsidP="00D20AD3">
      <w:pPr>
        <w:tabs>
          <w:tab w:val="left" w:pos="5304"/>
        </w:tabs>
        <w:jc w:val="center"/>
        <w:rPr>
          <w:rFonts w:ascii="Times New Roman" w:hAnsi="Times New Roman" w:cs="Times New Roman"/>
          <w:b/>
          <w:bCs/>
          <w:sz w:val="24"/>
          <w:szCs w:val="24"/>
        </w:rPr>
      </w:pPr>
    </w:p>
    <w:p w14:paraId="0D12B1AC" w14:textId="77777777" w:rsidR="00AD3E1D" w:rsidRPr="00A46DC3" w:rsidRDefault="00AD3E1D" w:rsidP="00D20AD3">
      <w:pPr>
        <w:tabs>
          <w:tab w:val="left" w:pos="5304"/>
        </w:tabs>
        <w:jc w:val="center"/>
        <w:rPr>
          <w:rFonts w:ascii="Times New Roman" w:hAnsi="Times New Roman" w:cs="Times New Roman"/>
          <w:b/>
          <w:bCs/>
          <w:sz w:val="24"/>
          <w:szCs w:val="24"/>
        </w:rPr>
      </w:pPr>
    </w:p>
    <w:p w14:paraId="4C95A762" w14:textId="77777777" w:rsidR="00AD3E1D" w:rsidRPr="00A46DC3" w:rsidRDefault="00AD3E1D" w:rsidP="00D20AD3">
      <w:pPr>
        <w:tabs>
          <w:tab w:val="left" w:pos="5304"/>
        </w:tabs>
        <w:jc w:val="center"/>
        <w:rPr>
          <w:rFonts w:ascii="Times New Roman" w:hAnsi="Times New Roman" w:cs="Times New Roman"/>
          <w:b/>
          <w:bCs/>
          <w:sz w:val="24"/>
          <w:szCs w:val="24"/>
        </w:rPr>
      </w:pPr>
    </w:p>
    <w:p w14:paraId="44983E2F" w14:textId="77777777" w:rsidR="00AD3E1D" w:rsidRPr="00A46DC3" w:rsidRDefault="00AD3E1D" w:rsidP="00D20AD3">
      <w:pPr>
        <w:tabs>
          <w:tab w:val="left" w:pos="5304"/>
        </w:tabs>
        <w:jc w:val="center"/>
        <w:rPr>
          <w:rFonts w:ascii="Times New Roman" w:hAnsi="Times New Roman" w:cs="Times New Roman"/>
          <w:b/>
          <w:bCs/>
          <w:sz w:val="24"/>
          <w:szCs w:val="24"/>
        </w:rPr>
      </w:pPr>
    </w:p>
    <w:p w14:paraId="686DE63B" w14:textId="77777777" w:rsidR="00AD3E1D" w:rsidRPr="00A46DC3" w:rsidRDefault="00AD3E1D" w:rsidP="00D20AD3">
      <w:pPr>
        <w:tabs>
          <w:tab w:val="left" w:pos="5304"/>
        </w:tabs>
        <w:jc w:val="center"/>
        <w:rPr>
          <w:rFonts w:ascii="Times New Roman" w:hAnsi="Times New Roman" w:cs="Times New Roman"/>
          <w:b/>
          <w:bCs/>
          <w:sz w:val="24"/>
          <w:szCs w:val="24"/>
        </w:rPr>
      </w:pPr>
    </w:p>
    <w:p w14:paraId="66EE5FBC" w14:textId="77777777" w:rsidR="00AD3E1D" w:rsidRPr="00A46DC3" w:rsidRDefault="00AD3E1D" w:rsidP="00D20AD3">
      <w:pPr>
        <w:tabs>
          <w:tab w:val="left" w:pos="5304"/>
        </w:tabs>
        <w:jc w:val="center"/>
        <w:rPr>
          <w:rFonts w:ascii="Times New Roman" w:hAnsi="Times New Roman" w:cs="Times New Roman"/>
          <w:b/>
          <w:bCs/>
          <w:sz w:val="24"/>
          <w:szCs w:val="24"/>
        </w:rPr>
      </w:pPr>
    </w:p>
    <w:p w14:paraId="4261A4C3" w14:textId="77777777" w:rsidR="00AD3E1D" w:rsidRPr="00A46DC3" w:rsidRDefault="00AD3E1D" w:rsidP="00D20AD3">
      <w:pPr>
        <w:tabs>
          <w:tab w:val="left" w:pos="5304"/>
        </w:tabs>
        <w:jc w:val="center"/>
        <w:rPr>
          <w:rFonts w:ascii="Times New Roman" w:hAnsi="Times New Roman" w:cs="Times New Roman"/>
          <w:b/>
          <w:bCs/>
          <w:sz w:val="24"/>
          <w:szCs w:val="24"/>
        </w:rPr>
      </w:pPr>
    </w:p>
    <w:p w14:paraId="46890D86" w14:textId="77777777" w:rsidR="00AD3E1D" w:rsidRPr="00A46DC3" w:rsidRDefault="00AD3E1D" w:rsidP="00D20AD3">
      <w:pPr>
        <w:tabs>
          <w:tab w:val="left" w:pos="5304"/>
        </w:tabs>
        <w:jc w:val="center"/>
        <w:rPr>
          <w:rFonts w:ascii="Times New Roman" w:hAnsi="Times New Roman" w:cs="Times New Roman"/>
          <w:b/>
          <w:bCs/>
          <w:sz w:val="24"/>
          <w:szCs w:val="24"/>
        </w:rPr>
      </w:pPr>
    </w:p>
    <w:p w14:paraId="1D4BE33B" w14:textId="77777777" w:rsidR="00AD3E1D" w:rsidRPr="00A46DC3" w:rsidRDefault="00AD3E1D" w:rsidP="00D20AD3">
      <w:pPr>
        <w:tabs>
          <w:tab w:val="left" w:pos="5304"/>
        </w:tabs>
        <w:jc w:val="center"/>
        <w:rPr>
          <w:rFonts w:ascii="Times New Roman" w:hAnsi="Times New Roman" w:cs="Times New Roman"/>
          <w:b/>
          <w:bCs/>
          <w:sz w:val="24"/>
          <w:szCs w:val="24"/>
        </w:rPr>
      </w:pPr>
    </w:p>
    <w:p w14:paraId="0BCA355E" w14:textId="77777777" w:rsidR="00AD3E1D" w:rsidRPr="00A46DC3" w:rsidRDefault="00AD3E1D" w:rsidP="00D20AD3">
      <w:pPr>
        <w:tabs>
          <w:tab w:val="left" w:pos="5304"/>
        </w:tabs>
        <w:jc w:val="center"/>
        <w:rPr>
          <w:rFonts w:ascii="Times New Roman" w:hAnsi="Times New Roman" w:cs="Times New Roman"/>
          <w:b/>
          <w:bCs/>
          <w:sz w:val="24"/>
          <w:szCs w:val="24"/>
        </w:rPr>
      </w:pPr>
    </w:p>
    <w:p w14:paraId="04526586" w14:textId="77777777" w:rsidR="00AD3E1D" w:rsidRPr="00A46DC3" w:rsidRDefault="00AD3E1D" w:rsidP="00D20AD3">
      <w:pPr>
        <w:tabs>
          <w:tab w:val="left" w:pos="5304"/>
        </w:tabs>
        <w:jc w:val="center"/>
        <w:rPr>
          <w:rFonts w:ascii="Times New Roman" w:hAnsi="Times New Roman" w:cs="Times New Roman"/>
          <w:b/>
          <w:bCs/>
          <w:sz w:val="24"/>
          <w:szCs w:val="24"/>
        </w:rPr>
      </w:pPr>
    </w:p>
    <w:p w14:paraId="68947DB3" w14:textId="77777777" w:rsidR="00AD3E1D" w:rsidRPr="00A46DC3" w:rsidRDefault="00AD3E1D" w:rsidP="00D20AD3">
      <w:pPr>
        <w:tabs>
          <w:tab w:val="left" w:pos="5304"/>
        </w:tabs>
        <w:jc w:val="center"/>
        <w:rPr>
          <w:rFonts w:ascii="Times New Roman" w:hAnsi="Times New Roman" w:cs="Times New Roman"/>
          <w:b/>
          <w:bCs/>
          <w:sz w:val="24"/>
          <w:szCs w:val="24"/>
        </w:rPr>
      </w:pPr>
    </w:p>
    <w:p w14:paraId="73C8E21A" w14:textId="77777777" w:rsidR="00AD3E1D" w:rsidRPr="00A46DC3" w:rsidRDefault="00AD3E1D" w:rsidP="00AD3E1D">
      <w:pPr>
        <w:tabs>
          <w:tab w:val="left" w:pos="5304"/>
        </w:tabs>
        <w:rPr>
          <w:rFonts w:ascii="Times New Roman" w:hAnsi="Times New Roman" w:cs="Times New Roman"/>
          <w:b/>
          <w:bCs/>
          <w:sz w:val="24"/>
          <w:szCs w:val="24"/>
        </w:rPr>
      </w:pPr>
    </w:p>
    <w:p w14:paraId="51ADADE1" w14:textId="375549E7" w:rsidR="00AD3E1D" w:rsidRPr="00A46DC3" w:rsidRDefault="00151244" w:rsidP="00AD3E1D">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5.1 SUMMARY</w:t>
      </w:r>
    </w:p>
    <w:p w14:paraId="638C3713" w14:textId="72AF975F" w:rsidR="00151244" w:rsidRPr="00A46DC3" w:rsidRDefault="000155B9" w:rsidP="00AD3E1D">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This study was conducted to examine the comparison of NPA and its factor in Federal Bank, State Bank of India and HDFC Bank. It is a very important parameter </w:t>
      </w:r>
      <w:r w:rsidR="00ED00FD" w:rsidRPr="00A46DC3">
        <w:rPr>
          <w:rFonts w:ascii="Times New Roman" w:hAnsi="Times New Roman" w:cs="Times New Roman"/>
          <w:sz w:val="24"/>
          <w:szCs w:val="24"/>
        </w:rPr>
        <w:t>to judge the performance and financial health of banks. The level of NPAs is one of the drivers of financial stability and growth of the banking sector</w:t>
      </w:r>
      <w:r w:rsidR="0018241D" w:rsidRPr="00A46DC3">
        <w:rPr>
          <w:rFonts w:ascii="Times New Roman" w:hAnsi="Times New Roman" w:cs="Times New Roman"/>
          <w:sz w:val="24"/>
          <w:szCs w:val="24"/>
        </w:rPr>
        <w:t xml:space="preserve">. Hence, it is imperative to explore </w:t>
      </w:r>
      <w:r w:rsidR="008F33FD" w:rsidRPr="00A46DC3">
        <w:rPr>
          <w:rFonts w:ascii="Times New Roman" w:hAnsi="Times New Roman" w:cs="Times New Roman"/>
          <w:sz w:val="24"/>
          <w:szCs w:val="24"/>
        </w:rPr>
        <w:t xml:space="preserve">the management strategies to reduce the NPA of Federal Bank, State Bank of India and HDFC Bank. In this regard, </w:t>
      </w:r>
      <w:r w:rsidR="00250F73" w:rsidRPr="00A46DC3">
        <w:rPr>
          <w:rFonts w:ascii="Times New Roman" w:hAnsi="Times New Roman" w:cs="Times New Roman"/>
          <w:sz w:val="24"/>
          <w:szCs w:val="24"/>
        </w:rPr>
        <w:t xml:space="preserve">the reduction of bank loans is extremely important in order to </w:t>
      </w:r>
      <w:r w:rsidR="00343B94" w:rsidRPr="00A46DC3">
        <w:rPr>
          <w:rFonts w:ascii="Times New Roman" w:hAnsi="Times New Roman" w:cs="Times New Roman"/>
          <w:sz w:val="24"/>
          <w:szCs w:val="24"/>
        </w:rPr>
        <w:t xml:space="preserve">improve the health </w:t>
      </w:r>
      <w:r w:rsidR="00FA10D1" w:rsidRPr="00A46DC3">
        <w:rPr>
          <w:rFonts w:ascii="Times New Roman" w:hAnsi="Times New Roman" w:cs="Times New Roman"/>
          <w:sz w:val="24"/>
          <w:szCs w:val="24"/>
        </w:rPr>
        <w:t>and profit of the financial institution. Against the backdrop, the present study entitled “Comparative analysis of non-performing assets in Federal Bank, State Bank of India and HDFC Bank”.</w:t>
      </w:r>
    </w:p>
    <w:p w14:paraId="2051BA9B" w14:textId="0F932A47" w:rsidR="008E225F" w:rsidRPr="00A46DC3" w:rsidRDefault="008F1CC0" w:rsidP="00AD3E1D">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5.2 FINDINGS</w:t>
      </w:r>
    </w:p>
    <w:p w14:paraId="20B635FB" w14:textId="44212C05" w:rsidR="008F1CC0" w:rsidRPr="00A46DC3" w:rsidRDefault="00F169DE"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The Gross NPA ratio </w:t>
      </w:r>
      <w:r w:rsidR="00E243E1" w:rsidRPr="00A46DC3">
        <w:rPr>
          <w:rFonts w:ascii="Times New Roman" w:hAnsi="Times New Roman" w:cs="Times New Roman"/>
          <w:sz w:val="24"/>
          <w:szCs w:val="24"/>
        </w:rPr>
        <w:t xml:space="preserve">of Federal Bank </w:t>
      </w:r>
      <w:r w:rsidRPr="00A46DC3">
        <w:rPr>
          <w:rFonts w:ascii="Times New Roman" w:hAnsi="Times New Roman" w:cs="Times New Roman"/>
          <w:sz w:val="24"/>
          <w:szCs w:val="24"/>
        </w:rPr>
        <w:t xml:space="preserve">decreased from </w:t>
      </w:r>
      <w:r w:rsidR="00F34DAA" w:rsidRPr="00A46DC3">
        <w:rPr>
          <w:rFonts w:ascii="Times New Roman" w:hAnsi="Times New Roman" w:cs="Times New Roman"/>
          <w:sz w:val="24"/>
          <w:szCs w:val="24"/>
        </w:rPr>
        <w:t>2.92% in FY2019 to 2.13% in FY2024, while the Net NPA ratio declined from 1.84% to 0.60% over the same period, reflecting improved asset quality.</w:t>
      </w:r>
    </w:p>
    <w:p w14:paraId="2CD9FA87" w14:textId="2CF659D2" w:rsidR="00F34DAA" w:rsidRPr="00A46DC3" w:rsidRDefault="00E243E1"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State Bank of India’s Gross NPA ratio showed a significant reduction from 7.53</w:t>
      </w:r>
      <w:r w:rsidR="00A629EA" w:rsidRPr="00A46DC3">
        <w:rPr>
          <w:rFonts w:ascii="Times New Roman" w:hAnsi="Times New Roman" w:cs="Times New Roman"/>
          <w:sz w:val="24"/>
          <w:szCs w:val="24"/>
        </w:rPr>
        <w:t xml:space="preserve">% in FY2019 to 2.78% in FY2024. The Net NPA ratio also improved from 3.01% in FY2019 </w:t>
      </w:r>
      <w:r w:rsidR="001C0C53" w:rsidRPr="00A46DC3">
        <w:rPr>
          <w:rFonts w:ascii="Times New Roman" w:hAnsi="Times New Roman" w:cs="Times New Roman"/>
          <w:sz w:val="24"/>
          <w:szCs w:val="24"/>
        </w:rPr>
        <w:t>to 0.71% in FY2024, reflecting enhanced asset quality and effective NPA management.</w:t>
      </w:r>
    </w:p>
    <w:p w14:paraId="784A838E" w14:textId="7FA1AD05" w:rsidR="007409B7" w:rsidRPr="00A46DC3" w:rsidRDefault="007409B7"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Maintaining a relatively low Gross NPA ratio, HDFC Bank’s figures fluctuated slightly, with a peak of 1.36</w:t>
      </w:r>
      <w:r w:rsidR="002110B6" w:rsidRPr="00A46DC3">
        <w:rPr>
          <w:rFonts w:ascii="Times New Roman" w:hAnsi="Times New Roman" w:cs="Times New Roman"/>
          <w:sz w:val="24"/>
          <w:szCs w:val="24"/>
        </w:rPr>
        <w:t xml:space="preserve">% in FY2019 and slight increase to 1.20% in FY2024. The Net NPA ration remained consistently low, ranging from 0.27% to 0.40%, </w:t>
      </w:r>
      <w:r w:rsidR="003E00D7" w:rsidRPr="00A46DC3">
        <w:rPr>
          <w:rFonts w:ascii="Times New Roman" w:hAnsi="Times New Roman" w:cs="Times New Roman"/>
          <w:sz w:val="24"/>
          <w:szCs w:val="24"/>
        </w:rPr>
        <w:t>indicating strong asset quality.</w:t>
      </w:r>
    </w:p>
    <w:p w14:paraId="549C9CA5" w14:textId="63489305" w:rsidR="000325E1" w:rsidRPr="00A46DC3" w:rsidRDefault="000325E1"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Overall, SBI showed the most dramatic im</w:t>
      </w:r>
      <w:r w:rsidR="00465B99" w:rsidRPr="00A46DC3">
        <w:rPr>
          <w:rFonts w:ascii="Times New Roman" w:hAnsi="Times New Roman" w:cs="Times New Roman"/>
          <w:sz w:val="24"/>
          <w:szCs w:val="24"/>
        </w:rPr>
        <w:t xml:space="preserve">provement, while HDFC Bank maintained the lowest NPA levels, reflecting its strong asset quality. Federal Bank, though </w:t>
      </w:r>
      <w:r w:rsidR="00110A76" w:rsidRPr="00A46DC3">
        <w:rPr>
          <w:rFonts w:ascii="Times New Roman" w:hAnsi="Times New Roman" w:cs="Times New Roman"/>
          <w:sz w:val="24"/>
          <w:szCs w:val="24"/>
        </w:rPr>
        <w:t xml:space="preserve">starting with a lower </w:t>
      </w:r>
      <w:proofErr w:type="gramStart"/>
      <w:r w:rsidR="00110A76" w:rsidRPr="00A46DC3">
        <w:rPr>
          <w:rFonts w:ascii="Times New Roman" w:hAnsi="Times New Roman" w:cs="Times New Roman"/>
          <w:sz w:val="24"/>
          <w:szCs w:val="24"/>
        </w:rPr>
        <w:t>GNPA  than</w:t>
      </w:r>
      <w:proofErr w:type="gramEnd"/>
      <w:r w:rsidR="00110A76" w:rsidRPr="00A46DC3">
        <w:rPr>
          <w:rFonts w:ascii="Times New Roman" w:hAnsi="Times New Roman" w:cs="Times New Roman"/>
          <w:sz w:val="24"/>
          <w:szCs w:val="24"/>
        </w:rPr>
        <w:t xml:space="preserve"> SBI, also demonstrated steady</w:t>
      </w:r>
      <w:r w:rsidR="00354A8E" w:rsidRPr="00A46DC3">
        <w:rPr>
          <w:rFonts w:ascii="Times New Roman" w:hAnsi="Times New Roman" w:cs="Times New Roman"/>
          <w:sz w:val="24"/>
          <w:szCs w:val="24"/>
        </w:rPr>
        <w:t xml:space="preserve"> </w:t>
      </w:r>
      <w:r w:rsidR="00767EC0" w:rsidRPr="00A46DC3">
        <w:rPr>
          <w:rFonts w:ascii="Times New Roman" w:hAnsi="Times New Roman" w:cs="Times New Roman"/>
          <w:sz w:val="24"/>
          <w:szCs w:val="24"/>
        </w:rPr>
        <w:t>progress in reducing bad loans.</w:t>
      </w:r>
    </w:p>
    <w:p w14:paraId="2C00DFAB" w14:textId="083447AC" w:rsidR="00767EC0" w:rsidRPr="00A46DC3" w:rsidRDefault="00767EC0"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SBI’s aggressive NPA resolution strategies contributed to its sharp decline in both GNPA and NNPA, whereas HDFC Bank’s consistently low NPA</w:t>
      </w:r>
      <w:r w:rsidR="00255733" w:rsidRPr="00A46DC3">
        <w:rPr>
          <w:rFonts w:ascii="Times New Roman" w:hAnsi="Times New Roman" w:cs="Times New Roman"/>
          <w:sz w:val="24"/>
          <w:szCs w:val="24"/>
        </w:rPr>
        <w:t>s highlight its conservative lending approach and efficient risk management.</w:t>
      </w:r>
    </w:p>
    <w:p w14:paraId="33756210" w14:textId="5FF67508" w:rsidR="00255733" w:rsidRPr="00A46DC3" w:rsidRDefault="002A73F9" w:rsidP="00F169DE">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lastRenderedPageBreak/>
        <w:t xml:space="preserve">Despite fluctuations, all three banks have strengthened their </w:t>
      </w:r>
      <w:r w:rsidR="003C3DED" w:rsidRPr="00A46DC3">
        <w:rPr>
          <w:rFonts w:ascii="Times New Roman" w:hAnsi="Times New Roman" w:cs="Times New Roman"/>
          <w:sz w:val="24"/>
          <w:szCs w:val="24"/>
        </w:rPr>
        <w:t>asset quality over the years, reinforcing stability in their financial performance.</w:t>
      </w:r>
    </w:p>
    <w:p w14:paraId="1BE69C00" w14:textId="25FBC12E" w:rsidR="00B718BB" w:rsidRPr="00A46DC3" w:rsidRDefault="00B718BB" w:rsidP="00B718BB">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SBI has the highest Mean Gross NPA (4.76%), indicating higher loan defaults.</w:t>
      </w:r>
    </w:p>
    <w:p w14:paraId="21BE71F4" w14:textId="769E5599" w:rsidR="00FF120D" w:rsidRPr="00A46DC3" w:rsidRDefault="00FF120D" w:rsidP="00FF120D">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HDFC Bank has the lowest </w:t>
      </w:r>
      <w:r w:rsidR="007079B6" w:rsidRPr="00A46DC3">
        <w:rPr>
          <w:rFonts w:ascii="Times New Roman" w:hAnsi="Times New Roman" w:cs="Times New Roman"/>
          <w:sz w:val="24"/>
          <w:szCs w:val="24"/>
        </w:rPr>
        <w:t xml:space="preserve">Mean </w:t>
      </w:r>
      <w:r w:rsidRPr="00A46DC3">
        <w:rPr>
          <w:rFonts w:ascii="Times New Roman" w:hAnsi="Times New Roman" w:cs="Times New Roman"/>
          <w:sz w:val="24"/>
          <w:szCs w:val="24"/>
        </w:rPr>
        <w:t xml:space="preserve">Gross NPA (1.24%) and the most stable asset quality. </w:t>
      </w:r>
    </w:p>
    <w:p w14:paraId="5F4C7BD3" w14:textId="302287EC" w:rsidR="00B718BB" w:rsidRPr="00A46DC3" w:rsidRDefault="00FF120D" w:rsidP="00FF120D">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Federal Bank’s </w:t>
      </w:r>
      <w:r w:rsidR="007079B6" w:rsidRPr="00A46DC3">
        <w:rPr>
          <w:rFonts w:ascii="Times New Roman" w:hAnsi="Times New Roman" w:cs="Times New Roman"/>
          <w:sz w:val="24"/>
          <w:szCs w:val="24"/>
        </w:rPr>
        <w:t xml:space="preserve">Mean </w:t>
      </w:r>
      <w:r w:rsidRPr="00A46DC3">
        <w:rPr>
          <w:rFonts w:ascii="Times New Roman" w:hAnsi="Times New Roman" w:cs="Times New Roman"/>
          <w:sz w:val="24"/>
          <w:szCs w:val="24"/>
        </w:rPr>
        <w:t>Gross NPA (2.74%) is in between but shows less variation (CV 16.39%) than SBI.</w:t>
      </w:r>
    </w:p>
    <w:p w14:paraId="3D9C2C1E" w14:textId="4BF5CC38"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SBI's </w:t>
      </w:r>
      <w:r w:rsidR="00A55F0E" w:rsidRPr="00A46DC3">
        <w:rPr>
          <w:rFonts w:ascii="Times New Roman" w:hAnsi="Times New Roman" w:cs="Times New Roman"/>
          <w:sz w:val="24"/>
          <w:szCs w:val="24"/>
        </w:rPr>
        <w:t xml:space="preserve">Mean </w:t>
      </w:r>
      <w:r w:rsidRPr="00A46DC3">
        <w:rPr>
          <w:rFonts w:ascii="Times New Roman" w:hAnsi="Times New Roman" w:cs="Times New Roman"/>
          <w:sz w:val="24"/>
          <w:szCs w:val="24"/>
        </w:rPr>
        <w:t xml:space="preserve">Net NPA (1.54%) has the highest fluctuation (CV 59.45%), showing inconsistent recovery of bad loans. </w:t>
      </w:r>
    </w:p>
    <w:p w14:paraId="2B553F89" w14:textId="186E28AB"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HDFC Bank has the lowest </w:t>
      </w:r>
      <w:r w:rsidR="00A55F0E" w:rsidRPr="00A46DC3">
        <w:rPr>
          <w:rFonts w:ascii="Times New Roman" w:hAnsi="Times New Roman" w:cs="Times New Roman"/>
          <w:sz w:val="24"/>
          <w:szCs w:val="24"/>
        </w:rPr>
        <w:t xml:space="preserve">Mean </w:t>
      </w:r>
      <w:r w:rsidRPr="00A46DC3">
        <w:rPr>
          <w:rFonts w:ascii="Times New Roman" w:hAnsi="Times New Roman" w:cs="Times New Roman"/>
          <w:sz w:val="24"/>
          <w:szCs w:val="24"/>
        </w:rPr>
        <w:t xml:space="preserve">Net NPA (0.35%) and least volatility, reflecting strong risk management. </w:t>
      </w:r>
    </w:p>
    <w:p w14:paraId="4125081A" w14:textId="6A8BF9BA"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Federal Bank’s </w:t>
      </w:r>
      <w:r w:rsidR="00A55F0E" w:rsidRPr="00A46DC3">
        <w:rPr>
          <w:rFonts w:ascii="Times New Roman" w:hAnsi="Times New Roman" w:cs="Times New Roman"/>
          <w:sz w:val="24"/>
          <w:szCs w:val="24"/>
        </w:rPr>
        <w:t xml:space="preserve">Mean </w:t>
      </w:r>
      <w:r w:rsidRPr="00A46DC3">
        <w:rPr>
          <w:rFonts w:ascii="Times New Roman" w:hAnsi="Times New Roman" w:cs="Times New Roman"/>
          <w:sz w:val="24"/>
          <w:szCs w:val="24"/>
        </w:rPr>
        <w:t>Net NPA (1.04%) is moderate, with lower fluctuations (CV 33.68%) than SBI.</w:t>
      </w:r>
    </w:p>
    <w:p w14:paraId="7C9170A6" w14:textId="72A20CB7"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HDFC Bank has the best asset quality, with lowest NPA levels and least variation across years. </w:t>
      </w:r>
    </w:p>
    <w:p w14:paraId="729B7B4D" w14:textId="05DC6AA1"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SBI has the highest NPA levels and fluctuations, indicating higher credit risk and inconsistent loan recovery. </w:t>
      </w:r>
    </w:p>
    <w:p w14:paraId="70C2EE49" w14:textId="4F3151D7" w:rsidR="007F1123" w:rsidRPr="00A46DC3" w:rsidRDefault="007F1123" w:rsidP="007F1123">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Federal Bank is in between, showing moderate NPA levels with relatively stable performance.</w:t>
      </w:r>
    </w:p>
    <w:p w14:paraId="520E1C45" w14:textId="2036AC1B" w:rsidR="0058277C" w:rsidRPr="00A46DC3" w:rsidRDefault="0058277C" w:rsidP="0058277C">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HDFC Bank is the most stable and best-performing bank in terms of NPAs. </w:t>
      </w:r>
    </w:p>
    <w:p w14:paraId="025F7184" w14:textId="47E8ADDC" w:rsidR="0058277C" w:rsidRPr="00A46DC3" w:rsidRDefault="0058277C" w:rsidP="0058277C">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SBI needs stronger NPA management, as both Gross and Net NPAs show high fluctuations. </w:t>
      </w:r>
    </w:p>
    <w:p w14:paraId="11E79263" w14:textId="03C4A98E" w:rsidR="0058277C" w:rsidRPr="00A46DC3" w:rsidRDefault="0058277C" w:rsidP="0058277C">
      <w:pPr>
        <w:pStyle w:val="ListParagraph"/>
        <w:numPr>
          <w:ilvl w:val="0"/>
          <w:numId w:val="23"/>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Federal Bank is performing well, but there's room for improvement in reducing NPAs further.</w:t>
      </w:r>
    </w:p>
    <w:p w14:paraId="273FB607" w14:textId="625D77D5" w:rsidR="001F0446" w:rsidRPr="00A46DC3" w:rsidRDefault="001F0446" w:rsidP="001F0446">
      <w:pPr>
        <w:tabs>
          <w:tab w:val="left" w:pos="5304"/>
        </w:tabs>
        <w:ind w:left="360"/>
        <w:rPr>
          <w:rFonts w:ascii="Times New Roman" w:hAnsi="Times New Roman" w:cs="Times New Roman"/>
          <w:b/>
          <w:bCs/>
          <w:sz w:val="24"/>
          <w:szCs w:val="24"/>
        </w:rPr>
      </w:pPr>
      <w:r w:rsidRPr="00A46DC3">
        <w:rPr>
          <w:rFonts w:ascii="Times New Roman" w:hAnsi="Times New Roman" w:cs="Times New Roman"/>
          <w:b/>
          <w:bCs/>
          <w:sz w:val="24"/>
          <w:szCs w:val="24"/>
        </w:rPr>
        <w:t>5.3 RECOMMENDATIONS</w:t>
      </w:r>
    </w:p>
    <w:p w14:paraId="0D800B93" w14:textId="52B65C0A" w:rsidR="00B54B43" w:rsidRPr="00A46DC3" w:rsidRDefault="001F0446" w:rsidP="00B54B43">
      <w:pPr>
        <w:tabs>
          <w:tab w:val="left" w:pos="5304"/>
        </w:tabs>
        <w:ind w:left="360"/>
        <w:rPr>
          <w:rFonts w:ascii="Times New Roman" w:hAnsi="Times New Roman" w:cs="Times New Roman"/>
          <w:sz w:val="24"/>
          <w:szCs w:val="24"/>
        </w:rPr>
      </w:pPr>
      <w:r w:rsidRPr="00A46DC3">
        <w:rPr>
          <w:rFonts w:ascii="Times New Roman" w:hAnsi="Times New Roman" w:cs="Times New Roman"/>
          <w:sz w:val="24"/>
          <w:szCs w:val="24"/>
        </w:rPr>
        <w:t>Thr</w:t>
      </w:r>
      <w:r w:rsidR="00824766" w:rsidRPr="00A46DC3">
        <w:rPr>
          <w:rFonts w:ascii="Times New Roman" w:hAnsi="Times New Roman" w:cs="Times New Roman"/>
          <w:sz w:val="24"/>
          <w:szCs w:val="24"/>
        </w:rPr>
        <w:t>ough RBI has reduced number of measures to reduce the problem of increasing NPAs of the bank such as CDR</w:t>
      </w:r>
      <w:r w:rsidR="00967A80" w:rsidRPr="00A46DC3">
        <w:rPr>
          <w:rFonts w:ascii="Times New Roman" w:hAnsi="Times New Roman" w:cs="Times New Roman"/>
          <w:sz w:val="24"/>
          <w:szCs w:val="24"/>
        </w:rPr>
        <w:t xml:space="preserve"> mechanism, </w:t>
      </w:r>
      <w:proofErr w:type="gramStart"/>
      <w:r w:rsidR="00967A80" w:rsidRPr="00A46DC3">
        <w:rPr>
          <w:rFonts w:ascii="Times New Roman" w:hAnsi="Times New Roman" w:cs="Times New Roman"/>
          <w:sz w:val="24"/>
          <w:szCs w:val="24"/>
        </w:rPr>
        <w:t>one time</w:t>
      </w:r>
      <w:proofErr w:type="gramEnd"/>
      <w:r w:rsidR="00967A80" w:rsidRPr="00A46DC3">
        <w:rPr>
          <w:rFonts w:ascii="Times New Roman" w:hAnsi="Times New Roman" w:cs="Times New Roman"/>
          <w:sz w:val="24"/>
          <w:szCs w:val="24"/>
        </w:rPr>
        <w:t xml:space="preserve"> settlement schemes, enactment of </w:t>
      </w:r>
      <w:r w:rsidR="00FC1AB1" w:rsidRPr="00A46DC3">
        <w:rPr>
          <w:rFonts w:ascii="Times New Roman" w:hAnsi="Times New Roman" w:cs="Times New Roman"/>
          <w:sz w:val="24"/>
          <w:szCs w:val="24"/>
        </w:rPr>
        <w:t>SARFAESI Act, etc</w:t>
      </w:r>
      <w:r w:rsidR="00B4369F" w:rsidRPr="00A46DC3">
        <w:rPr>
          <w:rFonts w:ascii="Times New Roman" w:hAnsi="Times New Roman" w:cs="Times New Roman"/>
          <w:sz w:val="24"/>
          <w:szCs w:val="24"/>
        </w:rPr>
        <w:t>. A lot of measures are desired in terms of effectiveness of these measures. What I would like to sugges</w:t>
      </w:r>
      <w:r w:rsidR="00942B92" w:rsidRPr="00A46DC3">
        <w:rPr>
          <w:rFonts w:ascii="Times New Roman" w:hAnsi="Times New Roman" w:cs="Times New Roman"/>
          <w:sz w:val="24"/>
          <w:szCs w:val="24"/>
        </w:rPr>
        <w:t>t for reducing the evolutions of the NPAs of Federal Bank, State Bank of India and HDFC Bank as under:</w:t>
      </w:r>
    </w:p>
    <w:p w14:paraId="46D0CE33" w14:textId="307CB38B" w:rsidR="00B54B43" w:rsidRPr="00A46DC3" w:rsidRDefault="009E5882" w:rsidP="00B54B43">
      <w:pPr>
        <w:pStyle w:val="ListParagraph"/>
        <w:numPr>
          <w:ilvl w:val="0"/>
          <w:numId w:val="26"/>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State</w:t>
      </w:r>
      <w:r w:rsidR="00B54B43" w:rsidRPr="00A46DC3">
        <w:rPr>
          <w:rFonts w:ascii="Times New Roman" w:hAnsi="Times New Roman" w:cs="Times New Roman"/>
          <w:sz w:val="24"/>
          <w:szCs w:val="24"/>
        </w:rPr>
        <w:t xml:space="preserve"> Bank</w:t>
      </w:r>
      <w:r w:rsidRPr="00A46DC3">
        <w:rPr>
          <w:rFonts w:ascii="Times New Roman" w:hAnsi="Times New Roman" w:cs="Times New Roman"/>
          <w:sz w:val="24"/>
          <w:szCs w:val="24"/>
        </w:rPr>
        <w:t xml:space="preserve"> of India</w:t>
      </w:r>
      <w:r w:rsidR="00B54B43" w:rsidRPr="00A46DC3">
        <w:rPr>
          <w:rFonts w:ascii="Times New Roman" w:hAnsi="Times New Roman" w:cs="Times New Roman"/>
          <w:sz w:val="24"/>
          <w:szCs w:val="24"/>
        </w:rPr>
        <w:t>:</w:t>
      </w:r>
    </w:p>
    <w:p w14:paraId="3B0ED28A" w14:textId="325A5837" w:rsidR="00490065" w:rsidRPr="00A46DC3" w:rsidRDefault="00490065" w:rsidP="00490065">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Improve due diligence before sanctioning loans. </w:t>
      </w:r>
    </w:p>
    <w:p w14:paraId="4CAFF3DD" w14:textId="2A9B5D97" w:rsidR="009A4A85" w:rsidRPr="00A46DC3" w:rsidRDefault="00490065" w:rsidP="00490065">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Implement stricter credit risk assessment for large corporate loans.</w:t>
      </w:r>
    </w:p>
    <w:p w14:paraId="48D0F4D8" w14:textId="7B0068F5" w:rsidR="00676B29" w:rsidRPr="00A46DC3" w:rsidRDefault="00676B29" w:rsidP="00676B2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Strengthen early warning systems to identify stressed assets. </w:t>
      </w:r>
    </w:p>
    <w:p w14:paraId="134DE35B" w14:textId="4C9CFD5D" w:rsidR="00676B29" w:rsidRPr="00A46DC3" w:rsidRDefault="00676B29" w:rsidP="00676B2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Implement faster legal proceedings under SARFAESI Act and Insolvency &amp; Bankruptcy Code (IBC). </w:t>
      </w:r>
    </w:p>
    <w:p w14:paraId="457B58F5" w14:textId="1179E9A4" w:rsidR="00490065" w:rsidRPr="00A46DC3" w:rsidRDefault="00676B29" w:rsidP="00676B2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Set up specialized recovery teams for handling large NPAs.</w:t>
      </w:r>
    </w:p>
    <w:p w14:paraId="39D6CF38" w14:textId="7E852F34" w:rsidR="007E50F9" w:rsidRPr="00A46DC3" w:rsidRDefault="007E50F9" w:rsidP="007E50F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Reduce exposure to high-risk corporate loans and increase secured retail lending. </w:t>
      </w:r>
    </w:p>
    <w:p w14:paraId="1B3C43F7" w14:textId="7976E004" w:rsidR="007E50F9" w:rsidRPr="00A46DC3" w:rsidRDefault="007E50F9" w:rsidP="007E50F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Expand home loans, auto loans, and gold loans, which have lower default risks.</w:t>
      </w:r>
    </w:p>
    <w:p w14:paraId="13F934EE" w14:textId="528DCE48" w:rsidR="007E50F9" w:rsidRPr="00A46DC3" w:rsidRDefault="007E50F9" w:rsidP="007E50F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Use AI &amp; machine learning to predict potential NPAs. </w:t>
      </w:r>
    </w:p>
    <w:p w14:paraId="6D8E2740" w14:textId="7D9260BC" w:rsidR="007E50F9" w:rsidRPr="00A46DC3" w:rsidRDefault="007E50F9" w:rsidP="007E50F9">
      <w:pPr>
        <w:pStyle w:val="ListParagraph"/>
        <w:numPr>
          <w:ilvl w:val="0"/>
          <w:numId w:val="27"/>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Implement real-time tracking of borrower repayment behaviour.</w:t>
      </w:r>
    </w:p>
    <w:p w14:paraId="1A7E21CC" w14:textId="46DCBA8E" w:rsidR="00B54B43" w:rsidRPr="00A46DC3" w:rsidRDefault="009E5882" w:rsidP="00B54B43">
      <w:pPr>
        <w:pStyle w:val="ListParagraph"/>
        <w:numPr>
          <w:ilvl w:val="0"/>
          <w:numId w:val="26"/>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Federal Bank</w:t>
      </w:r>
      <w:r w:rsidR="009A4A85" w:rsidRPr="00A46DC3">
        <w:rPr>
          <w:rFonts w:ascii="Times New Roman" w:hAnsi="Times New Roman" w:cs="Times New Roman"/>
          <w:sz w:val="24"/>
          <w:szCs w:val="24"/>
        </w:rPr>
        <w:t>:</w:t>
      </w:r>
    </w:p>
    <w:p w14:paraId="0FEFC3E1" w14:textId="6C18E284" w:rsidR="00DB2976" w:rsidRPr="00A46DC3" w:rsidRDefault="00DB2976" w:rsidP="00DB2976">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lastRenderedPageBreak/>
        <w:t xml:space="preserve">Implement sector-specific risk assessment models for corporate lending. </w:t>
      </w:r>
    </w:p>
    <w:p w14:paraId="48167A04" w14:textId="08CBF441" w:rsidR="007E50F9" w:rsidRPr="00A46DC3" w:rsidRDefault="00DB2976" w:rsidP="00DB2976">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Diversify the loan book further to reduce sectoral concentration risks.</w:t>
      </w:r>
    </w:p>
    <w:p w14:paraId="30F66DE7" w14:textId="52CBE307" w:rsidR="000236C1" w:rsidRPr="00A46DC3" w:rsidRDefault="000236C1" w:rsidP="000236C1">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Improve financing models for MSMEs with better collateral-based lending. </w:t>
      </w:r>
    </w:p>
    <w:p w14:paraId="4C8AF66A" w14:textId="216D464B" w:rsidR="00DB2976" w:rsidRPr="00A46DC3" w:rsidRDefault="000236C1" w:rsidP="000236C1">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Offer structured repayment options to reduce defaults.</w:t>
      </w:r>
    </w:p>
    <w:p w14:paraId="0D743B44" w14:textId="61492547" w:rsidR="006C388A" w:rsidRPr="00A46DC3" w:rsidRDefault="006C388A" w:rsidP="006C388A">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Set up dedicated recovery teams for SME and corporate loans. </w:t>
      </w:r>
    </w:p>
    <w:p w14:paraId="1DFB8BDB" w14:textId="378DDC45" w:rsidR="006C388A" w:rsidRPr="00A46DC3" w:rsidRDefault="006C388A" w:rsidP="006C388A">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Increase focus on One-Time Settlement (OTS) schemes for bad loans.</w:t>
      </w:r>
    </w:p>
    <w:p w14:paraId="1F7DD6B7" w14:textId="10A2A877" w:rsidR="006C388A" w:rsidRPr="00A46DC3" w:rsidRDefault="006C388A" w:rsidP="006C388A">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Use AI-driven credit scoring models to assess borrower behavio</w:t>
      </w:r>
      <w:r w:rsidR="00331742" w:rsidRPr="00A46DC3">
        <w:rPr>
          <w:rFonts w:ascii="Times New Roman" w:hAnsi="Times New Roman" w:cs="Times New Roman"/>
          <w:sz w:val="24"/>
          <w:szCs w:val="24"/>
        </w:rPr>
        <w:t>u</w:t>
      </w:r>
      <w:r w:rsidRPr="00A46DC3">
        <w:rPr>
          <w:rFonts w:ascii="Times New Roman" w:hAnsi="Times New Roman" w:cs="Times New Roman"/>
          <w:sz w:val="24"/>
          <w:szCs w:val="24"/>
        </w:rPr>
        <w:t xml:space="preserve">r. </w:t>
      </w:r>
    </w:p>
    <w:p w14:paraId="15D11B95" w14:textId="7C932F91" w:rsidR="006C388A" w:rsidRPr="00A46DC3" w:rsidRDefault="006C388A" w:rsidP="006C388A">
      <w:pPr>
        <w:pStyle w:val="ListParagraph"/>
        <w:numPr>
          <w:ilvl w:val="0"/>
          <w:numId w:val="28"/>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Automate risk assessment to reduce manual errors in loan sanctioning.</w:t>
      </w:r>
    </w:p>
    <w:p w14:paraId="747CE1D8" w14:textId="1AE3D6F4" w:rsidR="009A4A85" w:rsidRPr="00A46DC3" w:rsidRDefault="009A4A85" w:rsidP="00B54B43">
      <w:pPr>
        <w:pStyle w:val="ListParagraph"/>
        <w:numPr>
          <w:ilvl w:val="0"/>
          <w:numId w:val="26"/>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HDFC Bank:</w:t>
      </w:r>
    </w:p>
    <w:p w14:paraId="1B2CC13F" w14:textId="118AC579" w:rsidR="00657899" w:rsidRPr="00A46DC3" w:rsidRDefault="00657899" w:rsidP="00657899">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Continue conservative lending policies to maintain low NPA levels. </w:t>
      </w:r>
    </w:p>
    <w:p w14:paraId="5853702F" w14:textId="5234FD4F" w:rsidR="00657899" w:rsidRPr="00A46DC3" w:rsidRDefault="00657899" w:rsidP="00657899">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Strengthen underwriting standards to prevent high-risk lending.</w:t>
      </w:r>
    </w:p>
    <w:p w14:paraId="51DD6F41" w14:textId="273685DF" w:rsidR="00657899" w:rsidRPr="00A46DC3" w:rsidRDefault="00657899" w:rsidP="00657899">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Increase presence in semi-urban and rural areas with secure retail lending. </w:t>
      </w:r>
    </w:p>
    <w:p w14:paraId="6DC72AC0" w14:textId="7471510E" w:rsidR="00657899" w:rsidRPr="00A46DC3" w:rsidRDefault="00657899" w:rsidP="00657899">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Enhance digital loan disbursement platforms for faster credit approvals.</w:t>
      </w:r>
    </w:p>
    <w:p w14:paraId="732E347D" w14:textId="7859AD34" w:rsidR="00BA0F4B" w:rsidRPr="00A46DC3" w:rsidRDefault="00BA0F4B" w:rsidP="00BA0F4B">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Closely monitor macroeconomic trends affecting borrowers’ repayment capacities. </w:t>
      </w:r>
    </w:p>
    <w:p w14:paraId="171A7B59" w14:textId="02970703" w:rsidR="00657899" w:rsidRPr="00A46DC3" w:rsidRDefault="00BA0F4B" w:rsidP="00BA0F4B">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Diversify risk exposure across different industries to reduce dependency on any one sector.</w:t>
      </w:r>
    </w:p>
    <w:p w14:paraId="13872AD3" w14:textId="6A102BAE" w:rsidR="00BA0F4B" w:rsidRPr="00A46DC3" w:rsidRDefault="00BA0F4B" w:rsidP="00BA0F4B">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Use AI-powered fraud detection to prevent loan fraud. </w:t>
      </w:r>
    </w:p>
    <w:p w14:paraId="287E1E0C" w14:textId="70E2D2FC" w:rsidR="00BA0F4B" w:rsidRPr="00A46DC3" w:rsidRDefault="00BA0F4B" w:rsidP="00BA0F4B">
      <w:pPr>
        <w:pStyle w:val="ListParagraph"/>
        <w:numPr>
          <w:ilvl w:val="0"/>
          <w:numId w:val="29"/>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Strengthen internal audits to detect irregularities in loan approvals.</w:t>
      </w:r>
    </w:p>
    <w:p w14:paraId="421D5AB4" w14:textId="4ED55E52" w:rsidR="00D75E04" w:rsidRPr="00A46DC3" w:rsidRDefault="00030661" w:rsidP="00D75E04">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5.4 CONCLUSION:</w:t>
      </w:r>
    </w:p>
    <w:p w14:paraId="3CEC9115" w14:textId="32A99E6D" w:rsidR="00030661" w:rsidRPr="00A46DC3" w:rsidRDefault="00030661" w:rsidP="00D75E04">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Over recent years, there was great talk </w:t>
      </w:r>
      <w:r w:rsidR="00344E9F" w:rsidRPr="00A46DC3">
        <w:rPr>
          <w:rFonts w:ascii="Times New Roman" w:hAnsi="Times New Roman" w:cs="Times New Roman"/>
          <w:sz w:val="24"/>
          <w:szCs w:val="24"/>
        </w:rPr>
        <w:t xml:space="preserve">about </w:t>
      </w:r>
      <w:r w:rsidR="004C335C" w:rsidRPr="00A46DC3">
        <w:rPr>
          <w:rFonts w:ascii="Times New Roman" w:hAnsi="Times New Roman" w:cs="Times New Roman"/>
          <w:sz w:val="24"/>
          <w:szCs w:val="24"/>
        </w:rPr>
        <w:t>Non-Performing</w:t>
      </w:r>
      <w:r w:rsidR="00344E9F" w:rsidRPr="00A46DC3">
        <w:rPr>
          <w:rFonts w:ascii="Times New Roman" w:hAnsi="Times New Roman" w:cs="Times New Roman"/>
          <w:sz w:val="24"/>
          <w:szCs w:val="24"/>
        </w:rPr>
        <w:t xml:space="preserve"> Assets and the emphasis has been on identification, </w:t>
      </w:r>
      <w:r w:rsidR="001A04E0" w:rsidRPr="00A46DC3">
        <w:rPr>
          <w:rFonts w:ascii="Times New Roman" w:hAnsi="Times New Roman" w:cs="Times New Roman"/>
          <w:sz w:val="24"/>
          <w:szCs w:val="24"/>
        </w:rPr>
        <w:t>quantification of Non-Performing Assets and ways to reduce and upgrade them</w:t>
      </w:r>
      <w:r w:rsidR="004C335C" w:rsidRPr="00A46DC3">
        <w:rPr>
          <w:rFonts w:ascii="Times New Roman" w:hAnsi="Times New Roman" w:cs="Times New Roman"/>
          <w:sz w:val="24"/>
          <w:szCs w:val="24"/>
        </w:rPr>
        <w:t>.</w:t>
      </w:r>
    </w:p>
    <w:p w14:paraId="4E6250DD" w14:textId="7E1FBF92" w:rsidR="004C335C" w:rsidRPr="00A46DC3" w:rsidRDefault="004C335C" w:rsidP="00D75E04">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In the changed context of new prudential norms and emphasis </w:t>
      </w:r>
      <w:r w:rsidR="00416FD9" w:rsidRPr="00A46DC3">
        <w:rPr>
          <w:rFonts w:ascii="Times New Roman" w:hAnsi="Times New Roman" w:cs="Times New Roman"/>
          <w:sz w:val="24"/>
          <w:szCs w:val="24"/>
        </w:rPr>
        <w:t>on quality lending and profitability, managers should make it amply clear to potential borrowers that bank</w:t>
      </w:r>
      <w:r w:rsidR="00C2004E" w:rsidRPr="00A46DC3">
        <w:rPr>
          <w:rFonts w:ascii="Times New Roman" w:hAnsi="Times New Roman" w:cs="Times New Roman"/>
          <w:sz w:val="24"/>
          <w:szCs w:val="24"/>
        </w:rPr>
        <w:t xml:space="preserve"> resources are scarce and these are meant to finance viable ventures so that these are repaid on time and relevant </w:t>
      </w:r>
      <w:r w:rsidR="00451001" w:rsidRPr="00A46DC3">
        <w:rPr>
          <w:rFonts w:ascii="Times New Roman" w:hAnsi="Times New Roman" w:cs="Times New Roman"/>
          <w:sz w:val="24"/>
          <w:szCs w:val="24"/>
        </w:rPr>
        <w:t>to other needy borrowers for improving the economic lot</w:t>
      </w:r>
      <w:r w:rsidR="00C22B1D" w:rsidRPr="00A46DC3">
        <w:rPr>
          <w:rFonts w:ascii="Times New Roman" w:hAnsi="Times New Roman" w:cs="Times New Roman"/>
          <w:sz w:val="24"/>
          <w:szCs w:val="24"/>
        </w:rPr>
        <w:t xml:space="preserve"> of maximum numbers of households. Hence sele</w:t>
      </w:r>
      <w:r w:rsidR="00434C68" w:rsidRPr="00A46DC3">
        <w:rPr>
          <w:rFonts w:ascii="Times New Roman" w:hAnsi="Times New Roman" w:cs="Times New Roman"/>
          <w:sz w:val="24"/>
          <w:szCs w:val="24"/>
        </w:rPr>
        <w:t>ction of right borrowers</w:t>
      </w:r>
      <w:r w:rsidR="00FF796D" w:rsidRPr="00A46DC3">
        <w:rPr>
          <w:rFonts w:ascii="Times New Roman" w:hAnsi="Times New Roman" w:cs="Times New Roman"/>
          <w:sz w:val="24"/>
          <w:szCs w:val="24"/>
        </w:rPr>
        <w:t xml:space="preserve">, viable economic activity, adequate finance and timely </w:t>
      </w:r>
      <w:r w:rsidR="00060EC3" w:rsidRPr="00A46DC3">
        <w:rPr>
          <w:rFonts w:ascii="Times New Roman" w:hAnsi="Times New Roman" w:cs="Times New Roman"/>
          <w:sz w:val="24"/>
          <w:szCs w:val="24"/>
        </w:rPr>
        <w:t xml:space="preserve">disbursement, correct end use of funds and timely recovery of loans is absolutely </w:t>
      </w:r>
      <w:r w:rsidR="00236029" w:rsidRPr="00A46DC3">
        <w:rPr>
          <w:rFonts w:ascii="Times New Roman" w:hAnsi="Times New Roman" w:cs="Times New Roman"/>
          <w:sz w:val="24"/>
          <w:szCs w:val="24"/>
        </w:rPr>
        <w:t xml:space="preserve">necessary </w:t>
      </w:r>
      <w:r w:rsidR="00A20532" w:rsidRPr="00A46DC3">
        <w:rPr>
          <w:rFonts w:ascii="Times New Roman" w:hAnsi="Times New Roman" w:cs="Times New Roman"/>
          <w:sz w:val="24"/>
          <w:szCs w:val="24"/>
        </w:rPr>
        <w:t>preconditions</w:t>
      </w:r>
      <w:r w:rsidR="00236029" w:rsidRPr="00A46DC3">
        <w:rPr>
          <w:rFonts w:ascii="Times New Roman" w:hAnsi="Times New Roman" w:cs="Times New Roman"/>
          <w:sz w:val="24"/>
          <w:szCs w:val="24"/>
        </w:rPr>
        <w:t xml:space="preserve"> for preventing or minimizing </w:t>
      </w:r>
      <w:r w:rsidR="007A73CE" w:rsidRPr="00A46DC3">
        <w:rPr>
          <w:rFonts w:ascii="Times New Roman" w:hAnsi="Times New Roman" w:cs="Times New Roman"/>
          <w:sz w:val="24"/>
          <w:szCs w:val="24"/>
        </w:rPr>
        <w:t>the incident of Non-Performing Assets</w:t>
      </w:r>
    </w:p>
    <w:p w14:paraId="2043EA71" w14:textId="624AEBF6" w:rsidR="007A73CE" w:rsidRPr="00A46DC3" w:rsidRDefault="00A20532" w:rsidP="00A20532">
      <w:pPr>
        <w:tabs>
          <w:tab w:val="left" w:pos="5304"/>
        </w:tabs>
        <w:rPr>
          <w:rFonts w:ascii="Times New Roman" w:hAnsi="Times New Roman" w:cs="Times New Roman"/>
          <w:sz w:val="24"/>
          <w:szCs w:val="24"/>
        </w:rPr>
      </w:pPr>
      <w:r w:rsidRPr="00A46DC3">
        <w:rPr>
          <w:rFonts w:ascii="Times New Roman" w:hAnsi="Times New Roman" w:cs="Times New Roman"/>
          <w:sz w:val="24"/>
          <w:szCs w:val="24"/>
        </w:rPr>
        <w:t>The analysis of Gross and Net NPAs for SBI, Federal Bank, and HDFC Bank from FY2019 to FY2024 highlights significant differences in asset quality and risk management. SBI has the highest NPA levels and volatility, requiring stronger credit assessment and recovery mechanisms. Federal Bank has moderate NPAs with relatively stable performance, but it can further improve risk management. HDFC Bank has the lowest and most stable NPAs, demonstrating excellent asset quality. To improve, all banks should enhance loan monitoring, use AI-driven risk assessment, and strengthen legal recovery mechanisms. Effective implementation of these strategies will ensure sustainable growth and financial stability.</w:t>
      </w:r>
    </w:p>
    <w:p w14:paraId="1B6B5808" w14:textId="3676AD41" w:rsidR="00A20532" w:rsidRPr="00A46DC3" w:rsidRDefault="00A20532" w:rsidP="00A20532">
      <w:p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It is </w:t>
      </w:r>
      <w:r w:rsidR="00D90077" w:rsidRPr="00A46DC3">
        <w:rPr>
          <w:rFonts w:ascii="Times New Roman" w:hAnsi="Times New Roman" w:cs="Times New Roman"/>
          <w:sz w:val="24"/>
          <w:szCs w:val="24"/>
        </w:rPr>
        <w:t>time to take stringent measures to curb Non-Performing Assets and see to it that the Non-Performing Assets</w:t>
      </w:r>
      <w:r w:rsidR="002E6853" w:rsidRPr="00A46DC3">
        <w:rPr>
          <w:rFonts w:ascii="Times New Roman" w:hAnsi="Times New Roman" w:cs="Times New Roman"/>
          <w:sz w:val="24"/>
          <w:szCs w:val="24"/>
        </w:rPr>
        <w:t xml:space="preserve"> may not turn backs into Non-Performing Banks</w:t>
      </w:r>
      <w:r w:rsidR="00E40AAD" w:rsidRPr="00A46DC3">
        <w:rPr>
          <w:rFonts w:ascii="Times New Roman" w:hAnsi="Times New Roman" w:cs="Times New Roman"/>
          <w:sz w:val="24"/>
          <w:szCs w:val="24"/>
        </w:rPr>
        <w:t>; instead step should be taken to convert Non-Performing Assets into Performing Assets</w:t>
      </w:r>
    </w:p>
    <w:p w14:paraId="02C4525B" w14:textId="77777777" w:rsidR="00793327" w:rsidRPr="00A46DC3" w:rsidRDefault="00793327" w:rsidP="00A20532">
      <w:pPr>
        <w:tabs>
          <w:tab w:val="left" w:pos="5304"/>
        </w:tabs>
        <w:rPr>
          <w:rFonts w:ascii="Times New Roman" w:hAnsi="Times New Roman" w:cs="Times New Roman"/>
          <w:sz w:val="24"/>
          <w:szCs w:val="24"/>
        </w:rPr>
      </w:pPr>
    </w:p>
    <w:p w14:paraId="273BF869" w14:textId="77777777" w:rsidR="00793327" w:rsidRPr="00A46DC3" w:rsidRDefault="00793327" w:rsidP="00A20532">
      <w:pPr>
        <w:tabs>
          <w:tab w:val="left" w:pos="5304"/>
        </w:tabs>
        <w:rPr>
          <w:rFonts w:ascii="Times New Roman" w:hAnsi="Times New Roman" w:cs="Times New Roman"/>
          <w:sz w:val="24"/>
          <w:szCs w:val="24"/>
        </w:rPr>
      </w:pPr>
    </w:p>
    <w:p w14:paraId="4D50E032" w14:textId="77777777" w:rsidR="00793327" w:rsidRPr="00A46DC3" w:rsidRDefault="00793327" w:rsidP="00A20532">
      <w:pPr>
        <w:tabs>
          <w:tab w:val="left" w:pos="5304"/>
        </w:tabs>
        <w:rPr>
          <w:rFonts w:ascii="Times New Roman" w:hAnsi="Times New Roman" w:cs="Times New Roman"/>
          <w:sz w:val="24"/>
          <w:szCs w:val="24"/>
        </w:rPr>
      </w:pPr>
    </w:p>
    <w:p w14:paraId="7FEAF555" w14:textId="77777777" w:rsidR="00793327" w:rsidRPr="00A46DC3" w:rsidRDefault="00793327" w:rsidP="00A20532">
      <w:pPr>
        <w:tabs>
          <w:tab w:val="left" w:pos="5304"/>
        </w:tabs>
        <w:rPr>
          <w:rFonts w:ascii="Times New Roman" w:hAnsi="Times New Roman" w:cs="Times New Roman"/>
          <w:sz w:val="24"/>
          <w:szCs w:val="24"/>
        </w:rPr>
      </w:pPr>
    </w:p>
    <w:p w14:paraId="7914C34E" w14:textId="77777777" w:rsidR="00793327" w:rsidRPr="00A46DC3" w:rsidRDefault="00793327" w:rsidP="00A20532">
      <w:pPr>
        <w:tabs>
          <w:tab w:val="left" w:pos="5304"/>
        </w:tabs>
        <w:rPr>
          <w:rFonts w:ascii="Times New Roman" w:hAnsi="Times New Roman" w:cs="Times New Roman"/>
          <w:sz w:val="24"/>
          <w:szCs w:val="24"/>
        </w:rPr>
      </w:pPr>
    </w:p>
    <w:p w14:paraId="7C0832B5" w14:textId="77777777" w:rsidR="00793327" w:rsidRPr="00A46DC3" w:rsidRDefault="00793327" w:rsidP="00A20532">
      <w:pPr>
        <w:tabs>
          <w:tab w:val="left" w:pos="5304"/>
        </w:tabs>
        <w:rPr>
          <w:rFonts w:ascii="Times New Roman" w:hAnsi="Times New Roman" w:cs="Times New Roman"/>
          <w:sz w:val="24"/>
          <w:szCs w:val="24"/>
        </w:rPr>
      </w:pPr>
    </w:p>
    <w:p w14:paraId="2C309CE3" w14:textId="77777777" w:rsidR="00793327" w:rsidRPr="00A46DC3" w:rsidRDefault="00793327" w:rsidP="00A20532">
      <w:pPr>
        <w:tabs>
          <w:tab w:val="left" w:pos="5304"/>
        </w:tabs>
        <w:rPr>
          <w:rFonts w:ascii="Times New Roman" w:hAnsi="Times New Roman" w:cs="Times New Roman"/>
          <w:sz w:val="24"/>
          <w:szCs w:val="24"/>
        </w:rPr>
      </w:pPr>
    </w:p>
    <w:p w14:paraId="6544F3BA" w14:textId="77777777" w:rsidR="00793327" w:rsidRPr="00A46DC3" w:rsidRDefault="00793327" w:rsidP="00A20532">
      <w:pPr>
        <w:tabs>
          <w:tab w:val="left" w:pos="5304"/>
        </w:tabs>
        <w:rPr>
          <w:rFonts w:ascii="Times New Roman" w:hAnsi="Times New Roman" w:cs="Times New Roman"/>
          <w:sz w:val="24"/>
          <w:szCs w:val="24"/>
        </w:rPr>
      </w:pPr>
    </w:p>
    <w:p w14:paraId="3F82444E" w14:textId="77777777" w:rsidR="00793327" w:rsidRPr="00A46DC3" w:rsidRDefault="00793327" w:rsidP="00A20532">
      <w:pPr>
        <w:tabs>
          <w:tab w:val="left" w:pos="5304"/>
        </w:tabs>
        <w:rPr>
          <w:rFonts w:ascii="Times New Roman" w:hAnsi="Times New Roman" w:cs="Times New Roman"/>
          <w:sz w:val="24"/>
          <w:szCs w:val="24"/>
        </w:rPr>
      </w:pPr>
    </w:p>
    <w:p w14:paraId="5A1DD6BD" w14:textId="77777777" w:rsidR="00793327" w:rsidRPr="00A46DC3" w:rsidRDefault="00793327" w:rsidP="00A20532">
      <w:pPr>
        <w:tabs>
          <w:tab w:val="left" w:pos="5304"/>
        </w:tabs>
        <w:rPr>
          <w:rFonts w:ascii="Times New Roman" w:hAnsi="Times New Roman" w:cs="Times New Roman"/>
          <w:sz w:val="24"/>
          <w:szCs w:val="24"/>
        </w:rPr>
      </w:pPr>
    </w:p>
    <w:p w14:paraId="08FC572F" w14:textId="77777777" w:rsidR="00793327" w:rsidRPr="00A46DC3" w:rsidRDefault="00793327" w:rsidP="00A20532">
      <w:pPr>
        <w:tabs>
          <w:tab w:val="left" w:pos="5304"/>
        </w:tabs>
        <w:rPr>
          <w:rFonts w:ascii="Times New Roman" w:hAnsi="Times New Roman" w:cs="Times New Roman"/>
          <w:sz w:val="24"/>
          <w:szCs w:val="24"/>
        </w:rPr>
      </w:pPr>
    </w:p>
    <w:p w14:paraId="220B7156" w14:textId="77777777" w:rsidR="00793327" w:rsidRPr="00A46DC3" w:rsidRDefault="00793327" w:rsidP="00A20532">
      <w:pPr>
        <w:tabs>
          <w:tab w:val="left" w:pos="5304"/>
        </w:tabs>
        <w:rPr>
          <w:rFonts w:ascii="Times New Roman" w:hAnsi="Times New Roman" w:cs="Times New Roman"/>
          <w:sz w:val="24"/>
          <w:szCs w:val="24"/>
        </w:rPr>
      </w:pPr>
    </w:p>
    <w:p w14:paraId="623FB8F5" w14:textId="77777777" w:rsidR="00327F00" w:rsidRPr="00A46DC3" w:rsidRDefault="00327F00" w:rsidP="00A20532">
      <w:pPr>
        <w:tabs>
          <w:tab w:val="left" w:pos="5304"/>
        </w:tabs>
        <w:rPr>
          <w:rFonts w:ascii="Times New Roman" w:hAnsi="Times New Roman" w:cs="Times New Roman"/>
          <w:sz w:val="24"/>
          <w:szCs w:val="24"/>
        </w:rPr>
      </w:pPr>
    </w:p>
    <w:p w14:paraId="40E6448D" w14:textId="77777777" w:rsidR="00793327" w:rsidRPr="00A46DC3" w:rsidRDefault="00793327" w:rsidP="00A20532">
      <w:pPr>
        <w:tabs>
          <w:tab w:val="left" w:pos="5304"/>
        </w:tabs>
        <w:rPr>
          <w:rFonts w:ascii="Times New Roman" w:hAnsi="Times New Roman" w:cs="Times New Roman"/>
          <w:sz w:val="24"/>
          <w:szCs w:val="24"/>
        </w:rPr>
      </w:pPr>
    </w:p>
    <w:p w14:paraId="3494545F" w14:textId="77777777" w:rsidR="00793327" w:rsidRPr="00A46DC3" w:rsidRDefault="00793327" w:rsidP="00A20532">
      <w:pPr>
        <w:tabs>
          <w:tab w:val="left" w:pos="5304"/>
        </w:tabs>
        <w:rPr>
          <w:rFonts w:ascii="Times New Roman" w:hAnsi="Times New Roman" w:cs="Times New Roman"/>
          <w:sz w:val="24"/>
          <w:szCs w:val="24"/>
        </w:rPr>
      </w:pPr>
    </w:p>
    <w:p w14:paraId="6D7EB995" w14:textId="77777777" w:rsidR="00793327" w:rsidRPr="00A46DC3" w:rsidRDefault="00793327" w:rsidP="00A20532">
      <w:pPr>
        <w:tabs>
          <w:tab w:val="left" w:pos="5304"/>
        </w:tabs>
        <w:rPr>
          <w:rFonts w:ascii="Times New Roman" w:hAnsi="Times New Roman" w:cs="Times New Roman"/>
          <w:sz w:val="24"/>
          <w:szCs w:val="24"/>
        </w:rPr>
      </w:pPr>
    </w:p>
    <w:p w14:paraId="431C77F8" w14:textId="77777777" w:rsidR="00793327" w:rsidRPr="00A46DC3" w:rsidRDefault="00793327" w:rsidP="00A20532">
      <w:pPr>
        <w:tabs>
          <w:tab w:val="left" w:pos="5304"/>
        </w:tabs>
        <w:rPr>
          <w:rFonts w:ascii="Times New Roman" w:hAnsi="Times New Roman" w:cs="Times New Roman"/>
          <w:sz w:val="24"/>
          <w:szCs w:val="24"/>
        </w:rPr>
      </w:pPr>
    </w:p>
    <w:p w14:paraId="52889385" w14:textId="788FA5B5" w:rsidR="00793327" w:rsidRPr="00A46DC3" w:rsidRDefault="00327F00" w:rsidP="00327F00">
      <w:pPr>
        <w:tabs>
          <w:tab w:val="left" w:pos="5304"/>
        </w:tabs>
        <w:jc w:val="center"/>
        <w:rPr>
          <w:rFonts w:ascii="Times New Roman" w:hAnsi="Times New Roman" w:cs="Times New Roman"/>
          <w:b/>
          <w:bCs/>
          <w:sz w:val="24"/>
          <w:szCs w:val="24"/>
        </w:rPr>
      </w:pPr>
      <w:r w:rsidRPr="00A46DC3">
        <w:rPr>
          <w:rFonts w:ascii="Times New Roman" w:hAnsi="Times New Roman" w:cs="Times New Roman"/>
          <w:b/>
          <w:bCs/>
          <w:sz w:val="24"/>
          <w:szCs w:val="24"/>
        </w:rPr>
        <w:t>BIBLIOGRAPHY</w:t>
      </w:r>
    </w:p>
    <w:p w14:paraId="3B96F42B" w14:textId="77777777" w:rsidR="00327F00" w:rsidRPr="00A46DC3" w:rsidRDefault="00327F00" w:rsidP="00327F00">
      <w:pPr>
        <w:tabs>
          <w:tab w:val="left" w:pos="5304"/>
        </w:tabs>
        <w:rPr>
          <w:rFonts w:ascii="Times New Roman" w:hAnsi="Times New Roman" w:cs="Times New Roman"/>
          <w:sz w:val="24"/>
          <w:szCs w:val="24"/>
        </w:rPr>
      </w:pPr>
    </w:p>
    <w:p w14:paraId="1598F74B" w14:textId="77777777" w:rsidR="00327F00" w:rsidRPr="00A46DC3" w:rsidRDefault="00327F00" w:rsidP="00327F00">
      <w:pPr>
        <w:tabs>
          <w:tab w:val="left" w:pos="5304"/>
        </w:tabs>
        <w:rPr>
          <w:rFonts w:ascii="Times New Roman" w:hAnsi="Times New Roman" w:cs="Times New Roman"/>
          <w:sz w:val="24"/>
          <w:szCs w:val="24"/>
        </w:rPr>
      </w:pPr>
    </w:p>
    <w:p w14:paraId="2D880307" w14:textId="77777777" w:rsidR="00327F00" w:rsidRPr="00A46DC3" w:rsidRDefault="00327F00" w:rsidP="00327F00">
      <w:pPr>
        <w:tabs>
          <w:tab w:val="left" w:pos="5304"/>
        </w:tabs>
        <w:rPr>
          <w:rFonts w:ascii="Times New Roman" w:hAnsi="Times New Roman" w:cs="Times New Roman"/>
          <w:sz w:val="24"/>
          <w:szCs w:val="24"/>
        </w:rPr>
      </w:pPr>
    </w:p>
    <w:p w14:paraId="52D7A551" w14:textId="77777777" w:rsidR="00327F00" w:rsidRPr="00A46DC3" w:rsidRDefault="00327F00" w:rsidP="00327F00">
      <w:pPr>
        <w:tabs>
          <w:tab w:val="left" w:pos="5304"/>
        </w:tabs>
        <w:rPr>
          <w:rFonts w:ascii="Times New Roman" w:hAnsi="Times New Roman" w:cs="Times New Roman"/>
          <w:sz w:val="24"/>
          <w:szCs w:val="24"/>
        </w:rPr>
      </w:pPr>
    </w:p>
    <w:p w14:paraId="028A2783" w14:textId="77777777" w:rsidR="00327F00" w:rsidRPr="00A46DC3" w:rsidRDefault="00327F00" w:rsidP="00327F00">
      <w:pPr>
        <w:tabs>
          <w:tab w:val="left" w:pos="5304"/>
        </w:tabs>
        <w:rPr>
          <w:rFonts w:ascii="Times New Roman" w:hAnsi="Times New Roman" w:cs="Times New Roman"/>
          <w:sz w:val="24"/>
          <w:szCs w:val="24"/>
        </w:rPr>
      </w:pPr>
    </w:p>
    <w:p w14:paraId="56235B35" w14:textId="77777777" w:rsidR="00327F00" w:rsidRPr="00A46DC3" w:rsidRDefault="00327F00" w:rsidP="00327F00">
      <w:pPr>
        <w:tabs>
          <w:tab w:val="left" w:pos="5304"/>
        </w:tabs>
        <w:rPr>
          <w:rFonts w:ascii="Times New Roman" w:hAnsi="Times New Roman" w:cs="Times New Roman"/>
          <w:sz w:val="24"/>
          <w:szCs w:val="24"/>
        </w:rPr>
      </w:pPr>
    </w:p>
    <w:p w14:paraId="28890231" w14:textId="77777777" w:rsidR="00327F00" w:rsidRPr="00A46DC3" w:rsidRDefault="00327F00" w:rsidP="00327F00">
      <w:pPr>
        <w:tabs>
          <w:tab w:val="left" w:pos="5304"/>
        </w:tabs>
        <w:rPr>
          <w:rFonts w:ascii="Times New Roman" w:hAnsi="Times New Roman" w:cs="Times New Roman"/>
          <w:sz w:val="24"/>
          <w:szCs w:val="24"/>
        </w:rPr>
      </w:pPr>
    </w:p>
    <w:p w14:paraId="6591E97E" w14:textId="77777777" w:rsidR="00327F00" w:rsidRPr="00A46DC3" w:rsidRDefault="00327F00" w:rsidP="00327F00">
      <w:pPr>
        <w:tabs>
          <w:tab w:val="left" w:pos="5304"/>
        </w:tabs>
        <w:rPr>
          <w:rFonts w:ascii="Times New Roman" w:hAnsi="Times New Roman" w:cs="Times New Roman"/>
          <w:sz w:val="24"/>
          <w:szCs w:val="24"/>
        </w:rPr>
      </w:pPr>
    </w:p>
    <w:p w14:paraId="0054BB69" w14:textId="77777777" w:rsidR="00327F00" w:rsidRPr="00A46DC3" w:rsidRDefault="00327F00" w:rsidP="00327F00">
      <w:pPr>
        <w:tabs>
          <w:tab w:val="left" w:pos="5304"/>
        </w:tabs>
        <w:rPr>
          <w:rFonts w:ascii="Times New Roman" w:hAnsi="Times New Roman" w:cs="Times New Roman"/>
          <w:sz w:val="24"/>
          <w:szCs w:val="24"/>
        </w:rPr>
      </w:pPr>
    </w:p>
    <w:p w14:paraId="02F046C9" w14:textId="77777777" w:rsidR="00327F00" w:rsidRPr="00A46DC3" w:rsidRDefault="00327F00" w:rsidP="00327F00">
      <w:pPr>
        <w:tabs>
          <w:tab w:val="left" w:pos="5304"/>
        </w:tabs>
        <w:rPr>
          <w:rFonts w:ascii="Times New Roman" w:hAnsi="Times New Roman" w:cs="Times New Roman"/>
          <w:sz w:val="24"/>
          <w:szCs w:val="24"/>
        </w:rPr>
      </w:pPr>
    </w:p>
    <w:p w14:paraId="3E497B2D" w14:textId="77777777" w:rsidR="00327F00" w:rsidRPr="00A46DC3" w:rsidRDefault="00327F00" w:rsidP="00327F00">
      <w:pPr>
        <w:tabs>
          <w:tab w:val="left" w:pos="5304"/>
        </w:tabs>
        <w:rPr>
          <w:rFonts w:ascii="Times New Roman" w:hAnsi="Times New Roman" w:cs="Times New Roman"/>
          <w:sz w:val="24"/>
          <w:szCs w:val="24"/>
        </w:rPr>
      </w:pPr>
    </w:p>
    <w:p w14:paraId="48005A10" w14:textId="77777777" w:rsidR="00327F00" w:rsidRPr="00A46DC3" w:rsidRDefault="00327F00" w:rsidP="00327F00">
      <w:pPr>
        <w:tabs>
          <w:tab w:val="left" w:pos="5304"/>
        </w:tabs>
        <w:rPr>
          <w:rFonts w:ascii="Times New Roman" w:hAnsi="Times New Roman" w:cs="Times New Roman"/>
          <w:sz w:val="24"/>
          <w:szCs w:val="24"/>
        </w:rPr>
      </w:pPr>
    </w:p>
    <w:p w14:paraId="25B3AEF8" w14:textId="77777777" w:rsidR="00327F00" w:rsidRPr="00A46DC3" w:rsidRDefault="00327F00" w:rsidP="00327F00">
      <w:pPr>
        <w:tabs>
          <w:tab w:val="left" w:pos="5304"/>
        </w:tabs>
        <w:rPr>
          <w:rFonts w:ascii="Times New Roman" w:hAnsi="Times New Roman" w:cs="Times New Roman"/>
          <w:sz w:val="24"/>
          <w:szCs w:val="24"/>
        </w:rPr>
      </w:pPr>
    </w:p>
    <w:p w14:paraId="78EA9EF0" w14:textId="77777777" w:rsidR="00327F00" w:rsidRPr="00A46DC3" w:rsidRDefault="00327F00" w:rsidP="00327F00">
      <w:pPr>
        <w:tabs>
          <w:tab w:val="left" w:pos="5304"/>
        </w:tabs>
        <w:rPr>
          <w:rFonts w:ascii="Times New Roman" w:hAnsi="Times New Roman" w:cs="Times New Roman"/>
          <w:sz w:val="24"/>
          <w:szCs w:val="24"/>
        </w:rPr>
      </w:pPr>
    </w:p>
    <w:p w14:paraId="62A81EE5" w14:textId="77777777" w:rsidR="00327F00" w:rsidRPr="00A46DC3" w:rsidRDefault="00327F00" w:rsidP="00E02EC7">
      <w:pPr>
        <w:tabs>
          <w:tab w:val="left" w:pos="5304"/>
        </w:tabs>
        <w:rPr>
          <w:rFonts w:ascii="Times New Roman" w:hAnsi="Times New Roman" w:cs="Times New Roman"/>
          <w:sz w:val="24"/>
          <w:szCs w:val="24"/>
        </w:rPr>
      </w:pPr>
    </w:p>
    <w:p w14:paraId="2D9B28C8" w14:textId="78C53519" w:rsidR="00E02EC7" w:rsidRPr="00A46DC3" w:rsidRDefault="00E02EC7" w:rsidP="00E02EC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BOOKS AND JOURNALS</w:t>
      </w:r>
    </w:p>
    <w:p w14:paraId="220B0C1F" w14:textId="77777777" w:rsidR="0076056B" w:rsidRPr="00A46DC3" w:rsidRDefault="00CE00D6" w:rsidP="00C76A7C">
      <w:pPr>
        <w:pStyle w:val="ListParagraph"/>
        <w:numPr>
          <w:ilvl w:val="0"/>
          <w:numId w:val="3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 xml:space="preserve">Vijayaragavan </w:t>
      </w:r>
      <w:r w:rsidR="002F4DEB" w:rsidRPr="00A46DC3">
        <w:rPr>
          <w:rFonts w:ascii="Times New Roman" w:hAnsi="Times New Roman" w:cs="Times New Roman"/>
          <w:sz w:val="24"/>
          <w:szCs w:val="24"/>
        </w:rPr>
        <w:t xml:space="preserve">Iyengar G (2007) Introduction to Banking, Excel Books, </w:t>
      </w:r>
      <w:r w:rsidR="00C76A7C" w:rsidRPr="00A46DC3">
        <w:rPr>
          <w:rFonts w:ascii="Times New Roman" w:hAnsi="Times New Roman" w:cs="Times New Roman"/>
          <w:sz w:val="24"/>
          <w:szCs w:val="24"/>
        </w:rPr>
        <w:t>N</w:t>
      </w:r>
      <w:r w:rsidR="002F4DEB" w:rsidRPr="00A46DC3">
        <w:rPr>
          <w:rFonts w:ascii="Times New Roman" w:hAnsi="Times New Roman" w:cs="Times New Roman"/>
          <w:sz w:val="24"/>
          <w:szCs w:val="24"/>
        </w:rPr>
        <w:t>ew Delhi</w:t>
      </w:r>
    </w:p>
    <w:p w14:paraId="334D4E83" w14:textId="77777777" w:rsidR="0076056B" w:rsidRPr="00A46DC3" w:rsidRDefault="002F4DEB" w:rsidP="00C76A7C">
      <w:pPr>
        <w:pStyle w:val="ListParagraph"/>
        <w:numPr>
          <w:ilvl w:val="0"/>
          <w:numId w:val="3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Desai Vasanth (1979) Indian Banking – Nature and Problems, Hi</w:t>
      </w:r>
      <w:r w:rsidR="001D3724" w:rsidRPr="00A46DC3">
        <w:rPr>
          <w:rFonts w:ascii="Times New Roman" w:hAnsi="Times New Roman" w:cs="Times New Roman"/>
          <w:sz w:val="24"/>
          <w:szCs w:val="24"/>
        </w:rPr>
        <w:t>malaya Publishing</w:t>
      </w:r>
    </w:p>
    <w:p w14:paraId="1B0F4A20" w14:textId="5C4A8E98" w:rsidR="001D3724" w:rsidRPr="00A46DC3" w:rsidRDefault="001D3724" w:rsidP="00C76A7C">
      <w:pPr>
        <w:pStyle w:val="ListParagraph"/>
        <w:numPr>
          <w:ilvl w:val="0"/>
          <w:numId w:val="31"/>
        </w:numPr>
        <w:tabs>
          <w:tab w:val="left" w:pos="5304"/>
        </w:tabs>
        <w:rPr>
          <w:rFonts w:ascii="Times New Roman" w:hAnsi="Times New Roman" w:cs="Times New Roman"/>
          <w:sz w:val="24"/>
          <w:szCs w:val="24"/>
        </w:rPr>
      </w:pPr>
      <w:r w:rsidRPr="00A46DC3">
        <w:rPr>
          <w:rFonts w:ascii="Times New Roman" w:hAnsi="Times New Roman" w:cs="Times New Roman"/>
          <w:sz w:val="24"/>
          <w:szCs w:val="24"/>
        </w:rPr>
        <w:t>Shekhar K.C, S</w:t>
      </w:r>
      <w:r w:rsidR="00907F5F" w:rsidRPr="00A46DC3">
        <w:rPr>
          <w:rFonts w:ascii="Times New Roman" w:hAnsi="Times New Roman" w:cs="Times New Roman"/>
          <w:sz w:val="24"/>
          <w:szCs w:val="24"/>
        </w:rPr>
        <w:t>hekhar Lekshmy (2013), Banking Theory and Practices</w:t>
      </w:r>
      <w:r w:rsidR="00C76A7C" w:rsidRPr="00A46DC3">
        <w:rPr>
          <w:rFonts w:ascii="Times New Roman" w:hAnsi="Times New Roman" w:cs="Times New Roman"/>
          <w:sz w:val="24"/>
          <w:szCs w:val="24"/>
        </w:rPr>
        <w:t>, Vikas Publishing House</w:t>
      </w:r>
    </w:p>
    <w:p w14:paraId="7FA3D65A" w14:textId="776FB293" w:rsidR="00EB135F" w:rsidRPr="00A46DC3" w:rsidRDefault="00EB135F" w:rsidP="00E02EC7">
      <w:pPr>
        <w:tabs>
          <w:tab w:val="left" w:pos="5304"/>
        </w:tabs>
        <w:rPr>
          <w:rFonts w:ascii="Times New Roman" w:hAnsi="Times New Roman" w:cs="Times New Roman"/>
          <w:b/>
          <w:bCs/>
          <w:sz w:val="24"/>
          <w:szCs w:val="24"/>
        </w:rPr>
      </w:pPr>
      <w:r w:rsidRPr="00A46DC3">
        <w:rPr>
          <w:rFonts w:ascii="Times New Roman" w:hAnsi="Times New Roman" w:cs="Times New Roman"/>
          <w:b/>
          <w:bCs/>
          <w:sz w:val="24"/>
          <w:szCs w:val="24"/>
        </w:rPr>
        <w:t>WEBSITES</w:t>
      </w:r>
    </w:p>
    <w:p w14:paraId="4FC7BB4C" w14:textId="42A8547E" w:rsidR="00C76A7C" w:rsidRPr="00A46DC3" w:rsidRDefault="00EA1655" w:rsidP="00C76A7C">
      <w:pPr>
        <w:pStyle w:val="ListParagraph"/>
        <w:numPr>
          <w:ilvl w:val="0"/>
          <w:numId w:val="30"/>
        </w:numPr>
        <w:tabs>
          <w:tab w:val="left" w:pos="5304"/>
        </w:tabs>
        <w:rPr>
          <w:rFonts w:ascii="Times New Roman" w:hAnsi="Times New Roman" w:cs="Times New Roman"/>
          <w:sz w:val="24"/>
          <w:szCs w:val="24"/>
        </w:rPr>
      </w:pPr>
      <w:hyperlink r:id="rId98" w:history="1">
        <w:r w:rsidR="00D65D38" w:rsidRPr="00A46DC3">
          <w:rPr>
            <w:rStyle w:val="Hyperlink"/>
            <w:rFonts w:ascii="Times New Roman" w:hAnsi="Times New Roman" w:cs="Times New Roman"/>
            <w:sz w:val="24"/>
            <w:szCs w:val="24"/>
            <w:u w:val="none"/>
          </w:rPr>
          <w:t>https://m.rbi.org.in</w:t>
        </w:r>
      </w:hyperlink>
    </w:p>
    <w:p w14:paraId="4ABBE5C7" w14:textId="19E4D52E" w:rsidR="00D65D38" w:rsidRPr="00A46DC3" w:rsidRDefault="00EA1655" w:rsidP="00C76A7C">
      <w:pPr>
        <w:pStyle w:val="ListParagraph"/>
        <w:numPr>
          <w:ilvl w:val="0"/>
          <w:numId w:val="30"/>
        </w:numPr>
        <w:tabs>
          <w:tab w:val="left" w:pos="5304"/>
        </w:tabs>
        <w:rPr>
          <w:rFonts w:ascii="Times New Roman" w:hAnsi="Times New Roman" w:cs="Times New Roman"/>
          <w:sz w:val="24"/>
          <w:szCs w:val="24"/>
        </w:rPr>
      </w:pPr>
      <w:hyperlink r:id="rId99" w:history="1">
        <w:r w:rsidR="00D65D38" w:rsidRPr="00A46DC3">
          <w:rPr>
            <w:rStyle w:val="Hyperlink"/>
            <w:rFonts w:ascii="Times New Roman" w:hAnsi="Times New Roman" w:cs="Times New Roman"/>
            <w:sz w:val="24"/>
            <w:szCs w:val="24"/>
            <w:u w:val="none"/>
          </w:rPr>
          <w:t>https://www.federalbank.co.in</w:t>
        </w:r>
      </w:hyperlink>
    </w:p>
    <w:p w14:paraId="1A21909F" w14:textId="4E816DC0" w:rsidR="00D65D38" w:rsidRPr="00A46DC3" w:rsidRDefault="00EA1655" w:rsidP="00C76A7C">
      <w:pPr>
        <w:pStyle w:val="ListParagraph"/>
        <w:numPr>
          <w:ilvl w:val="0"/>
          <w:numId w:val="30"/>
        </w:numPr>
        <w:tabs>
          <w:tab w:val="left" w:pos="5304"/>
        </w:tabs>
        <w:rPr>
          <w:rFonts w:ascii="Times New Roman" w:hAnsi="Times New Roman" w:cs="Times New Roman"/>
          <w:sz w:val="24"/>
          <w:szCs w:val="24"/>
        </w:rPr>
      </w:pPr>
      <w:hyperlink r:id="rId100" w:history="1">
        <w:r w:rsidR="00D86ACE" w:rsidRPr="00A46DC3">
          <w:rPr>
            <w:rStyle w:val="Hyperlink"/>
            <w:rFonts w:ascii="Times New Roman" w:hAnsi="Times New Roman" w:cs="Times New Roman"/>
            <w:sz w:val="24"/>
            <w:szCs w:val="24"/>
            <w:u w:val="none"/>
          </w:rPr>
          <w:t>https://www.onlinesbi.sbi/</w:t>
        </w:r>
      </w:hyperlink>
    </w:p>
    <w:p w14:paraId="4FE513B8" w14:textId="571F943B" w:rsidR="00D86ACE" w:rsidRPr="00A46DC3" w:rsidRDefault="00EA1655" w:rsidP="00C76A7C">
      <w:pPr>
        <w:pStyle w:val="ListParagraph"/>
        <w:numPr>
          <w:ilvl w:val="0"/>
          <w:numId w:val="30"/>
        </w:numPr>
        <w:tabs>
          <w:tab w:val="left" w:pos="5304"/>
        </w:tabs>
        <w:rPr>
          <w:rFonts w:ascii="Times New Roman" w:hAnsi="Times New Roman" w:cs="Times New Roman"/>
          <w:sz w:val="24"/>
          <w:szCs w:val="24"/>
        </w:rPr>
      </w:pPr>
      <w:hyperlink r:id="rId101" w:history="1">
        <w:r w:rsidR="006F3625" w:rsidRPr="00A46DC3">
          <w:rPr>
            <w:rStyle w:val="Hyperlink"/>
            <w:rFonts w:ascii="Times New Roman" w:hAnsi="Times New Roman" w:cs="Times New Roman"/>
            <w:sz w:val="24"/>
            <w:szCs w:val="24"/>
            <w:u w:val="none"/>
          </w:rPr>
          <w:t>https://www.hdfcbank.com/</w:t>
        </w:r>
      </w:hyperlink>
    </w:p>
    <w:p w14:paraId="17619856" w14:textId="354E2EBA" w:rsidR="006F3625" w:rsidRPr="00A46DC3" w:rsidRDefault="00EA1655" w:rsidP="00C76A7C">
      <w:pPr>
        <w:pStyle w:val="ListParagraph"/>
        <w:numPr>
          <w:ilvl w:val="0"/>
          <w:numId w:val="30"/>
        </w:numPr>
        <w:tabs>
          <w:tab w:val="left" w:pos="5304"/>
        </w:tabs>
        <w:rPr>
          <w:rFonts w:ascii="Times New Roman" w:hAnsi="Times New Roman" w:cs="Times New Roman"/>
          <w:sz w:val="24"/>
          <w:szCs w:val="24"/>
        </w:rPr>
      </w:pPr>
      <w:hyperlink r:id="rId102" w:history="1">
        <w:r w:rsidR="00F110D0" w:rsidRPr="00A46DC3">
          <w:rPr>
            <w:rStyle w:val="Hyperlink"/>
            <w:rFonts w:ascii="Times New Roman" w:hAnsi="Times New Roman" w:cs="Times New Roman"/>
            <w:sz w:val="24"/>
            <w:szCs w:val="24"/>
            <w:u w:val="none"/>
          </w:rPr>
          <w:t>https://www.moneycontrol.com</w:t>
        </w:r>
      </w:hyperlink>
    </w:p>
    <w:p w14:paraId="1949E761" w14:textId="77777777" w:rsidR="00F110D0" w:rsidRPr="00A46DC3" w:rsidRDefault="00F110D0" w:rsidP="00F110D0">
      <w:pPr>
        <w:pStyle w:val="ListParagraph"/>
        <w:tabs>
          <w:tab w:val="left" w:pos="5304"/>
        </w:tabs>
        <w:rPr>
          <w:rFonts w:ascii="Times New Roman" w:hAnsi="Times New Roman" w:cs="Times New Roman"/>
          <w:sz w:val="24"/>
          <w:szCs w:val="24"/>
        </w:rPr>
      </w:pPr>
    </w:p>
    <w:sectPr w:rsidR="00F110D0" w:rsidRPr="00A46DC3" w:rsidSect="003A2DF5">
      <w:footerReference w:type="default" r:id="rId103"/>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DB1B3" w14:textId="77777777" w:rsidR="00335B06" w:rsidRDefault="00335B06" w:rsidP="005F2F45">
      <w:pPr>
        <w:spacing w:after="0" w:line="240" w:lineRule="auto"/>
      </w:pPr>
      <w:r>
        <w:separator/>
      </w:r>
    </w:p>
  </w:endnote>
  <w:endnote w:type="continuationSeparator" w:id="0">
    <w:p w14:paraId="7D4F1A52" w14:textId="77777777" w:rsidR="00335B06" w:rsidRDefault="00335B06" w:rsidP="005F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43872"/>
      <w:docPartObj>
        <w:docPartGallery w:val="Page Numbers (Bottom of Page)"/>
        <w:docPartUnique/>
      </w:docPartObj>
    </w:sdtPr>
    <w:sdtContent>
      <w:p w14:paraId="670ED36B" w14:textId="46496954" w:rsidR="00EA1655" w:rsidRDefault="00EA1655">
        <w:pPr>
          <w:pStyle w:val="Footer"/>
          <w:jc w:val="center"/>
        </w:pPr>
        <w:r>
          <w:fldChar w:fldCharType="begin"/>
        </w:r>
        <w:r>
          <w:instrText>PAGE   \* MERGEFORMAT</w:instrText>
        </w:r>
        <w:r>
          <w:fldChar w:fldCharType="separate"/>
        </w:r>
        <w:r>
          <w:rPr>
            <w:noProof/>
          </w:rPr>
          <w:t>23</w:t>
        </w:r>
        <w:r>
          <w:fldChar w:fldCharType="end"/>
        </w:r>
      </w:p>
    </w:sdtContent>
  </w:sdt>
  <w:p w14:paraId="58C2BA05" w14:textId="77777777" w:rsidR="00EA1655" w:rsidRDefault="00EA1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63C9" w14:textId="77777777" w:rsidR="00335B06" w:rsidRDefault="00335B06" w:rsidP="005F2F45">
      <w:pPr>
        <w:spacing w:after="0" w:line="240" w:lineRule="auto"/>
      </w:pPr>
      <w:r>
        <w:separator/>
      </w:r>
    </w:p>
  </w:footnote>
  <w:footnote w:type="continuationSeparator" w:id="0">
    <w:p w14:paraId="7439EB47" w14:textId="77777777" w:rsidR="00335B06" w:rsidRDefault="00335B06" w:rsidP="005F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F11"/>
    <w:multiLevelType w:val="hybridMultilevel"/>
    <w:tmpl w:val="66B24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9150F"/>
    <w:multiLevelType w:val="multilevel"/>
    <w:tmpl w:val="272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5625E"/>
    <w:multiLevelType w:val="hybridMultilevel"/>
    <w:tmpl w:val="ECC62B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77C5"/>
    <w:multiLevelType w:val="hybridMultilevel"/>
    <w:tmpl w:val="381E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170C"/>
    <w:multiLevelType w:val="hybridMultilevel"/>
    <w:tmpl w:val="A8B47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A75F99"/>
    <w:multiLevelType w:val="multilevel"/>
    <w:tmpl w:val="9998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91D3F"/>
    <w:multiLevelType w:val="hybridMultilevel"/>
    <w:tmpl w:val="808E3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C91177"/>
    <w:multiLevelType w:val="multilevel"/>
    <w:tmpl w:val="6BD66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33AD2"/>
    <w:multiLevelType w:val="hybridMultilevel"/>
    <w:tmpl w:val="705C1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D53A0D"/>
    <w:multiLevelType w:val="hybridMultilevel"/>
    <w:tmpl w:val="7B222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0E2910"/>
    <w:multiLevelType w:val="hybridMultilevel"/>
    <w:tmpl w:val="2DF20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8E4C26"/>
    <w:multiLevelType w:val="hybridMultilevel"/>
    <w:tmpl w:val="43BC16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60C2B"/>
    <w:multiLevelType w:val="hybridMultilevel"/>
    <w:tmpl w:val="F18C1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AA08BE"/>
    <w:multiLevelType w:val="hybridMultilevel"/>
    <w:tmpl w:val="1D940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7B64D0"/>
    <w:multiLevelType w:val="hybridMultilevel"/>
    <w:tmpl w:val="BCE40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96479B"/>
    <w:multiLevelType w:val="hybridMultilevel"/>
    <w:tmpl w:val="6CB866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FC36CCF"/>
    <w:multiLevelType w:val="hybridMultilevel"/>
    <w:tmpl w:val="17325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773301"/>
    <w:multiLevelType w:val="hybridMultilevel"/>
    <w:tmpl w:val="CC022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2B1DF6"/>
    <w:multiLevelType w:val="hybridMultilevel"/>
    <w:tmpl w:val="29CC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A5004"/>
    <w:multiLevelType w:val="hybridMultilevel"/>
    <w:tmpl w:val="C6264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EF143C"/>
    <w:multiLevelType w:val="hybridMultilevel"/>
    <w:tmpl w:val="F7D8B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421C8F"/>
    <w:multiLevelType w:val="hybridMultilevel"/>
    <w:tmpl w:val="845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97F72"/>
    <w:multiLevelType w:val="hybridMultilevel"/>
    <w:tmpl w:val="3F6C7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7744F6"/>
    <w:multiLevelType w:val="hybridMultilevel"/>
    <w:tmpl w:val="BF6E5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BE153A"/>
    <w:multiLevelType w:val="hybridMultilevel"/>
    <w:tmpl w:val="1778A6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3073CA4"/>
    <w:multiLevelType w:val="hybridMultilevel"/>
    <w:tmpl w:val="1DFCB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395EC8"/>
    <w:multiLevelType w:val="hybridMultilevel"/>
    <w:tmpl w:val="D82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865F5"/>
    <w:multiLevelType w:val="hybridMultilevel"/>
    <w:tmpl w:val="553E8A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FE27A43"/>
    <w:multiLevelType w:val="hybridMultilevel"/>
    <w:tmpl w:val="83EA2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842634"/>
    <w:multiLevelType w:val="hybridMultilevel"/>
    <w:tmpl w:val="64B2864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7338A1"/>
    <w:multiLevelType w:val="hybridMultilevel"/>
    <w:tmpl w:val="6DB0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73438"/>
    <w:multiLevelType w:val="multilevel"/>
    <w:tmpl w:val="1D2C76BE"/>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E60B26"/>
    <w:multiLevelType w:val="multilevel"/>
    <w:tmpl w:val="C7D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
  </w:num>
  <w:num w:numId="3">
    <w:abstractNumId w:val="18"/>
  </w:num>
  <w:num w:numId="4">
    <w:abstractNumId w:val="11"/>
  </w:num>
  <w:num w:numId="5">
    <w:abstractNumId w:val="2"/>
  </w:num>
  <w:num w:numId="6">
    <w:abstractNumId w:val="6"/>
  </w:num>
  <w:num w:numId="7">
    <w:abstractNumId w:val="25"/>
  </w:num>
  <w:num w:numId="8">
    <w:abstractNumId w:val="28"/>
  </w:num>
  <w:num w:numId="9">
    <w:abstractNumId w:val="20"/>
  </w:num>
  <w:num w:numId="10">
    <w:abstractNumId w:val="8"/>
  </w:num>
  <w:num w:numId="11">
    <w:abstractNumId w:val="23"/>
  </w:num>
  <w:num w:numId="12">
    <w:abstractNumId w:val="16"/>
  </w:num>
  <w:num w:numId="13">
    <w:abstractNumId w:val="4"/>
  </w:num>
  <w:num w:numId="14">
    <w:abstractNumId w:val="12"/>
  </w:num>
  <w:num w:numId="15">
    <w:abstractNumId w:val="17"/>
  </w:num>
  <w:num w:numId="16">
    <w:abstractNumId w:val="13"/>
  </w:num>
  <w:num w:numId="17">
    <w:abstractNumId w:val="10"/>
  </w:num>
  <w:num w:numId="18">
    <w:abstractNumId w:val="30"/>
  </w:num>
  <w:num w:numId="19">
    <w:abstractNumId w:val="21"/>
  </w:num>
  <w:num w:numId="20">
    <w:abstractNumId w:val="1"/>
  </w:num>
  <w:num w:numId="21">
    <w:abstractNumId w:val="7"/>
  </w:num>
  <w:num w:numId="22">
    <w:abstractNumId w:val="5"/>
  </w:num>
  <w:num w:numId="23">
    <w:abstractNumId w:val="26"/>
  </w:num>
  <w:num w:numId="24">
    <w:abstractNumId w:val="14"/>
  </w:num>
  <w:num w:numId="25">
    <w:abstractNumId w:val="19"/>
  </w:num>
  <w:num w:numId="26">
    <w:abstractNumId w:val="29"/>
  </w:num>
  <w:num w:numId="27">
    <w:abstractNumId w:val="24"/>
  </w:num>
  <w:num w:numId="28">
    <w:abstractNumId w:val="27"/>
  </w:num>
  <w:num w:numId="29">
    <w:abstractNumId w:val="15"/>
  </w:num>
  <w:num w:numId="30">
    <w:abstractNumId w:val="22"/>
  </w:num>
  <w:num w:numId="31">
    <w:abstractNumId w:val="0"/>
  </w:num>
  <w:num w:numId="32">
    <w:abstractNumId w:val="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69"/>
    <w:rsid w:val="00000DC0"/>
    <w:rsid w:val="00010D2C"/>
    <w:rsid w:val="000155B9"/>
    <w:rsid w:val="00015FAC"/>
    <w:rsid w:val="00022D12"/>
    <w:rsid w:val="000236C1"/>
    <w:rsid w:val="00024B1E"/>
    <w:rsid w:val="000304A8"/>
    <w:rsid w:val="00030661"/>
    <w:rsid w:val="000325E1"/>
    <w:rsid w:val="00055444"/>
    <w:rsid w:val="00056826"/>
    <w:rsid w:val="00060EC3"/>
    <w:rsid w:val="000624A6"/>
    <w:rsid w:val="00065C0B"/>
    <w:rsid w:val="000748F9"/>
    <w:rsid w:val="000749E6"/>
    <w:rsid w:val="00077E59"/>
    <w:rsid w:val="00083188"/>
    <w:rsid w:val="000838BF"/>
    <w:rsid w:val="0008754D"/>
    <w:rsid w:val="00087C91"/>
    <w:rsid w:val="00090732"/>
    <w:rsid w:val="0009649A"/>
    <w:rsid w:val="000966CD"/>
    <w:rsid w:val="000A1B8E"/>
    <w:rsid w:val="000A2DF4"/>
    <w:rsid w:val="000A3391"/>
    <w:rsid w:val="000A7804"/>
    <w:rsid w:val="000B0F7F"/>
    <w:rsid w:val="000B4FA8"/>
    <w:rsid w:val="000B6681"/>
    <w:rsid w:val="000C0473"/>
    <w:rsid w:val="000C1073"/>
    <w:rsid w:val="000C3A07"/>
    <w:rsid w:val="000C70C1"/>
    <w:rsid w:val="000D7F73"/>
    <w:rsid w:val="000E0FA6"/>
    <w:rsid w:val="000E3AD1"/>
    <w:rsid w:val="000E667E"/>
    <w:rsid w:val="000E677F"/>
    <w:rsid w:val="000E6BD7"/>
    <w:rsid w:val="000F3265"/>
    <w:rsid w:val="000F409A"/>
    <w:rsid w:val="000F7152"/>
    <w:rsid w:val="00101D64"/>
    <w:rsid w:val="0010241D"/>
    <w:rsid w:val="00103E0F"/>
    <w:rsid w:val="00110A76"/>
    <w:rsid w:val="00111139"/>
    <w:rsid w:val="001121A3"/>
    <w:rsid w:val="0011472F"/>
    <w:rsid w:val="00123B79"/>
    <w:rsid w:val="00125568"/>
    <w:rsid w:val="0012790E"/>
    <w:rsid w:val="00127BB5"/>
    <w:rsid w:val="00132032"/>
    <w:rsid w:val="0014196D"/>
    <w:rsid w:val="00145D6D"/>
    <w:rsid w:val="00146291"/>
    <w:rsid w:val="001472C8"/>
    <w:rsid w:val="00147F24"/>
    <w:rsid w:val="00151244"/>
    <w:rsid w:val="001539E7"/>
    <w:rsid w:val="00162B7C"/>
    <w:rsid w:val="0017245F"/>
    <w:rsid w:val="00174D0E"/>
    <w:rsid w:val="00177B80"/>
    <w:rsid w:val="00177DC8"/>
    <w:rsid w:val="00180AA6"/>
    <w:rsid w:val="0018241D"/>
    <w:rsid w:val="00182E8C"/>
    <w:rsid w:val="001859BD"/>
    <w:rsid w:val="001873D8"/>
    <w:rsid w:val="00193140"/>
    <w:rsid w:val="001A04E0"/>
    <w:rsid w:val="001A0696"/>
    <w:rsid w:val="001A2185"/>
    <w:rsid w:val="001A3E78"/>
    <w:rsid w:val="001A57E0"/>
    <w:rsid w:val="001B14A2"/>
    <w:rsid w:val="001C09C7"/>
    <w:rsid w:val="001C0C53"/>
    <w:rsid w:val="001C3368"/>
    <w:rsid w:val="001C5843"/>
    <w:rsid w:val="001C6185"/>
    <w:rsid w:val="001D3724"/>
    <w:rsid w:val="001D419B"/>
    <w:rsid w:val="001E0AAC"/>
    <w:rsid w:val="001E3291"/>
    <w:rsid w:val="001E37F8"/>
    <w:rsid w:val="001E3B3B"/>
    <w:rsid w:val="001E408E"/>
    <w:rsid w:val="001E4B91"/>
    <w:rsid w:val="001E72C0"/>
    <w:rsid w:val="001F0446"/>
    <w:rsid w:val="00200F29"/>
    <w:rsid w:val="00204F78"/>
    <w:rsid w:val="002063E9"/>
    <w:rsid w:val="00210A45"/>
    <w:rsid w:val="00210A9A"/>
    <w:rsid w:val="002110B6"/>
    <w:rsid w:val="002128F7"/>
    <w:rsid w:val="00214411"/>
    <w:rsid w:val="00216C21"/>
    <w:rsid w:val="0021745C"/>
    <w:rsid w:val="00217532"/>
    <w:rsid w:val="00220DAC"/>
    <w:rsid w:val="00223B5D"/>
    <w:rsid w:val="002300C0"/>
    <w:rsid w:val="0023025D"/>
    <w:rsid w:val="00233930"/>
    <w:rsid w:val="002347BC"/>
    <w:rsid w:val="00234DB6"/>
    <w:rsid w:val="00235935"/>
    <w:rsid w:val="00236029"/>
    <w:rsid w:val="00240CF2"/>
    <w:rsid w:val="0024653D"/>
    <w:rsid w:val="00250F73"/>
    <w:rsid w:val="00251E0A"/>
    <w:rsid w:val="00253593"/>
    <w:rsid w:val="00255733"/>
    <w:rsid w:val="002605FC"/>
    <w:rsid w:val="00262DA6"/>
    <w:rsid w:val="0026313D"/>
    <w:rsid w:val="00281EC1"/>
    <w:rsid w:val="002820D4"/>
    <w:rsid w:val="002835C8"/>
    <w:rsid w:val="002907CE"/>
    <w:rsid w:val="00293659"/>
    <w:rsid w:val="0029469C"/>
    <w:rsid w:val="00295BFF"/>
    <w:rsid w:val="002A01B7"/>
    <w:rsid w:val="002A3883"/>
    <w:rsid w:val="002A3BA5"/>
    <w:rsid w:val="002A5A87"/>
    <w:rsid w:val="002A6B97"/>
    <w:rsid w:val="002A73F9"/>
    <w:rsid w:val="002B2A3A"/>
    <w:rsid w:val="002C22BD"/>
    <w:rsid w:val="002C4C83"/>
    <w:rsid w:val="002D48D2"/>
    <w:rsid w:val="002D7234"/>
    <w:rsid w:val="002E12A5"/>
    <w:rsid w:val="002E4104"/>
    <w:rsid w:val="002E6853"/>
    <w:rsid w:val="002F4DEB"/>
    <w:rsid w:val="002F60B0"/>
    <w:rsid w:val="00304136"/>
    <w:rsid w:val="00304918"/>
    <w:rsid w:val="0030732A"/>
    <w:rsid w:val="003074CD"/>
    <w:rsid w:val="003128AB"/>
    <w:rsid w:val="003137AC"/>
    <w:rsid w:val="00323F08"/>
    <w:rsid w:val="00324712"/>
    <w:rsid w:val="00324FC5"/>
    <w:rsid w:val="003254C9"/>
    <w:rsid w:val="00325A23"/>
    <w:rsid w:val="00327F00"/>
    <w:rsid w:val="00331742"/>
    <w:rsid w:val="00335B06"/>
    <w:rsid w:val="0034297A"/>
    <w:rsid w:val="003433F1"/>
    <w:rsid w:val="00343B94"/>
    <w:rsid w:val="00344E9F"/>
    <w:rsid w:val="0034648C"/>
    <w:rsid w:val="00354A8E"/>
    <w:rsid w:val="00360E6A"/>
    <w:rsid w:val="00360ED9"/>
    <w:rsid w:val="00362058"/>
    <w:rsid w:val="0036773A"/>
    <w:rsid w:val="00372C2D"/>
    <w:rsid w:val="003730F2"/>
    <w:rsid w:val="00373945"/>
    <w:rsid w:val="00373BF9"/>
    <w:rsid w:val="0037587A"/>
    <w:rsid w:val="00377AE7"/>
    <w:rsid w:val="00383437"/>
    <w:rsid w:val="00383769"/>
    <w:rsid w:val="00383805"/>
    <w:rsid w:val="00383D1C"/>
    <w:rsid w:val="0038477D"/>
    <w:rsid w:val="00394591"/>
    <w:rsid w:val="003A2DF5"/>
    <w:rsid w:val="003A53C9"/>
    <w:rsid w:val="003A76A5"/>
    <w:rsid w:val="003B4779"/>
    <w:rsid w:val="003B4A48"/>
    <w:rsid w:val="003B5014"/>
    <w:rsid w:val="003B5C21"/>
    <w:rsid w:val="003C3B76"/>
    <w:rsid w:val="003C3DED"/>
    <w:rsid w:val="003C6B47"/>
    <w:rsid w:val="003C6EE2"/>
    <w:rsid w:val="003D4144"/>
    <w:rsid w:val="003D7D19"/>
    <w:rsid w:val="003E00D7"/>
    <w:rsid w:val="003E5398"/>
    <w:rsid w:val="003F73E4"/>
    <w:rsid w:val="00400AFC"/>
    <w:rsid w:val="0040412F"/>
    <w:rsid w:val="0040509F"/>
    <w:rsid w:val="004107FD"/>
    <w:rsid w:val="00414F7B"/>
    <w:rsid w:val="00415839"/>
    <w:rsid w:val="00416136"/>
    <w:rsid w:val="00416FD9"/>
    <w:rsid w:val="0042160C"/>
    <w:rsid w:val="00430F16"/>
    <w:rsid w:val="00434307"/>
    <w:rsid w:val="00434C68"/>
    <w:rsid w:val="004363F3"/>
    <w:rsid w:val="004466A4"/>
    <w:rsid w:val="00451001"/>
    <w:rsid w:val="004515E1"/>
    <w:rsid w:val="0045765A"/>
    <w:rsid w:val="00463ADA"/>
    <w:rsid w:val="004641EF"/>
    <w:rsid w:val="00464F5D"/>
    <w:rsid w:val="00465B99"/>
    <w:rsid w:val="0046794E"/>
    <w:rsid w:val="00470DE3"/>
    <w:rsid w:val="00471D6A"/>
    <w:rsid w:val="00473A60"/>
    <w:rsid w:val="004751BF"/>
    <w:rsid w:val="0047743E"/>
    <w:rsid w:val="00490065"/>
    <w:rsid w:val="00490A3E"/>
    <w:rsid w:val="004A62C3"/>
    <w:rsid w:val="004B051B"/>
    <w:rsid w:val="004B38D7"/>
    <w:rsid w:val="004B61FA"/>
    <w:rsid w:val="004C335C"/>
    <w:rsid w:val="004C4B97"/>
    <w:rsid w:val="004C6820"/>
    <w:rsid w:val="004D04CB"/>
    <w:rsid w:val="004D05F8"/>
    <w:rsid w:val="004D1AEC"/>
    <w:rsid w:val="004E18E7"/>
    <w:rsid w:val="004E30CF"/>
    <w:rsid w:val="004E3299"/>
    <w:rsid w:val="004E5572"/>
    <w:rsid w:val="004E5885"/>
    <w:rsid w:val="004E5F15"/>
    <w:rsid w:val="004E6182"/>
    <w:rsid w:val="004F04E5"/>
    <w:rsid w:val="004F0D58"/>
    <w:rsid w:val="004F2AD2"/>
    <w:rsid w:val="004F3DBC"/>
    <w:rsid w:val="004F49C3"/>
    <w:rsid w:val="005146C2"/>
    <w:rsid w:val="005221F1"/>
    <w:rsid w:val="005260A2"/>
    <w:rsid w:val="005336A2"/>
    <w:rsid w:val="005350EE"/>
    <w:rsid w:val="00536718"/>
    <w:rsid w:val="0053751E"/>
    <w:rsid w:val="00537990"/>
    <w:rsid w:val="0054238E"/>
    <w:rsid w:val="00544355"/>
    <w:rsid w:val="005446CE"/>
    <w:rsid w:val="00545E93"/>
    <w:rsid w:val="00546095"/>
    <w:rsid w:val="005548EB"/>
    <w:rsid w:val="00555D1C"/>
    <w:rsid w:val="00556206"/>
    <w:rsid w:val="005577F1"/>
    <w:rsid w:val="00576BD8"/>
    <w:rsid w:val="0058277C"/>
    <w:rsid w:val="00582A8E"/>
    <w:rsid w:val="00585DB0"/>
    <w:rsid w:val="0059099A"/>
    <w:rsid w:val="00590BEF"/>
    <w:rsid w:val="005A4A63"/>
    <w:rsid w:val="005A52BC"/>
    <w:rsid w:val="005B05F3"/>
    <w:rsid w:val="005B29A0"/>
    <w:rsid w:val="005B4C74"/>
    <w:rsid w:val="005C5193"/>
    <w:rsid w:val="005C554F"/>
    <w:rsid w:val="005D01FB"/>
    <w:rsid w:val="005D132F"/>
    <w:rsid w:val="005D3031"/>
    <w:rsid w:val="005D4FDF"/>
    <w:rsid w:val="005D6FCD"/>
    <w:rsid w:val="005E39FE"/>
    <w:rsid w:val="005E4B90"/>
    <w:rsid w:val="005F039A"/>
    <w:rsid w:val="005F2F45"/>
    <w:rsid w:val="005F55A9"/>
    <w:rsid w:val="0061024E"/>
    <w:rsid w:val="00613C14"/>
    <w:rsid w:val="00621730"/>
    <w:rsid w:val="00630DCE"/>
    <w:rsid w:val="0064097D"/>
    <w:rsid w:val="00640BAC"/>
    <w:rsid w:val="00645803"/>
    <w:rsid w:val="00651B23"/>
    <w:rsid w:val="00651ED0"/>
    <w:rsid w:val="00657899"/>
    <w:rsid w:val="00676B29"/>
    <w:rsid w:val="006775EC"/>
    <w:rsid w:val="00687DEB"/>
    <w:rsid w:val="00690AF6"/>
    <w:rsid w:val="00690BDB"/>
    <w:rsid w:val="00694C11"/>
    <w:rsid w:val="006A0579"/>
    <w:rsid w:val="006A3810"/>
    <w:rsid w:val="006B7DE3"/>
    <w:rsid w:val="006C151F"/>
    <w:rsid w:val="006C388A"/>
    <w:rsid w:val="006C57CA"/>
    <w:rsid w:val="006D2598"/>
    <w:rsid w:val="006D61B1"/>
    <w:rsid w:val="006D68C5"/>
    <w:rsid w:val="006D708D"/>
    <w:rsid w:val="006E21D0"/>
    <w:rsid w:val="006E2965"/>
    <w:rsid w:val="006F0B1E"/>
    <w:rsid w:val="006F3625"/>
    <w:rsid w:val="006F3D54"/>
    <w:rsid w:val="006F4AF6"/>
    <w:rsid w:val="006F7DBE"/>
    <w:rsid w:val="0070588D"/>
    <w:rsid w:val="007079B6"/>
    <w:rsid w:val="0071097A"/>
    <w:rsid w:val="007211E9"/>
    <w:rsid w:val="00724207"/>
    <w:rsid w:val="00724A0E"/>
    <w:rsid w:val="007331B8"/>
    <w:rsid w:val="007332A0"/>
    <w:rsid w:val="007409B7"/>
    <w:rsid w:val="007446AB"/>
    <w:rsid w:val="007466F9"/>
    <w:rsid w:val="00746E5B"/>
    <w:rsid w:val="00756DE1"/>
    <w:rsid w:val="0076056B"/>
    <w:rsid w:val="007625B6"/>
    <w:rsid w:val="00763D6C"/>
    <w:rsid w:val="007660AD"/>
    <w:rsid w:val="00767EC0"/>
    <w:rsid w:val="00770D0C"/>
    <w:rsid w:val="0077133E"/>
    <w:rsid w:val="00774617"/>
    <w:rsid w:val="0078014E"/>
    <w:rsid w:val="007835F2"/>
    <w:rsid w:val="00783D45"/>
    <w:rsid w:val="00793327"/>
    <w:rsid w:val="007A6083"/>
    <w:rsid w:val="007A622C"/>
    <w:rsid w:val="007A73CE"/>
    <w:rsid w:val="007B2EB8"/>
    <w:rsid w:val="007B7A98"/>
    <w:rsid w:val="007C066B"/>
    <w:rsid w:val="007C29F5"/>
    <w:rsid w:val="007C2B7D"/>
    <w:rsid w:val="007C3E15"/>
    <w:rsid w:val="007C48A8"/>
    <w:rsid w:val="007E2BB7"/>
    <w:rsid w:val="007E2E93"/>
    <w:rsid w:val="007E4C7B"/>
    <w:rsid w:val="007E50F9"/>
    <w:rsid w:val="007E68B1"/>
    <w:rsid w:val="007E6EB3"/>
    <w:rsid w:val="007F1123"/>
    <w:rsid w:val="007F1B27"/>
    <w:rsid w:val="00802BD2"/>
    <w:rsid w:val="0081107D"/>
    <w:rsid w:val="008110A7"/>
    <w:rsid w:val="0081243D"/>
    <w:rsid w:val="0081779C"/>
    <w:rsid w:val="00821F06"/>
    <w:rsid w:val="00822D2A"/>
    <w:rsid w:val="00824766"/>
    <w:rsid w:val="008250A4"/>
    <w:rsid w:val="00826A86"/>
    <w:rsid w:val="00841969"/>
    <w:rsid w:val="00844FEE"/>
    <w:rsid w:val="00845B1B"/>
    <w:rsid w:val="008472BA"/>
    <w:rsid w:val="008526CF"/>
    <w:rsid w:val="008533D8"/>
    <w:rsid w:val="00854104"/>
    <w:rsid w:val="00860DA4"/>
    <w:rsid w:val="00883F48"/>
    <w:rsid w:val="00894175"/>
    <w:rsid w:val="00894DD2"/>
    <w:rsid w:val="008B1106"/>
    <w:rsid w:val="008B3C15"/>
    <w:rsid w:val="008B3E67"/>
    <w:rsid w:val="008B51DE"/>
    <w:rsid w:val="008D26AA"/>
    <w:rsid w:val="008D4B61"/>
    <w:rsid w:val="008E18DB"/>
    <w:rsid w:val="008E225F"/>
    <w:rsid w:val="008E6F46"/>
    <w:rsid w:val="008F1CC0"/>
    <w:rsid w:val="008F33FD"/>
    <w:rsid w:val="0090080A"/>
    <w:rsid w:val="00900853"/>
    <w:rsid w:val="00901641"/>
    <w:rsid w:val="0090194A"/>
    <w:rsid w:val="00901A37"/>
    <w:rsid w:val="00903386"/>
    <w:rsid w:val="00903EB6"/>
    <w:rsid w:val="00907F5F"/>
    <w:rsid w:val="009132A6"/>
    <w:rsid w:val="00915024"/>
    <w:rsid w:val="00917227"/>
    <w:rsid w:val="00923DA6"/>
    <w:rsid w:val="00924A1A"/>
    <w:rsid w:val="00924D08"/>
    <w:rsid w:val="0093347B"/>
    <w:rsid w:val="00942B92"/>
    <w:rsid w:val="00943996"/>
    <w:rsid w:val="009449FD"/>
    <w:rsid w:val="009455B2"/>
    <w:rsid w:val="00946188"/>
    <w:rsid w:val="00946950"/>
    <w:rsid w:val="009601BC"/>
    <w:rsid w:val="00961E0C"/>
    <w:rsid w:val="00966192"/>
    <w:rsid w:val="00967A80"/>
    <w:rsid w:val="00967ADD"/>
    <w:rsid w:val="00980695"/>
    <w:rsid w:val="00987C16"/>
    <w:rsid w:val="00991EF9"/>
    <w:rsid w:val="0099631E"/>
    <w:rsid w:val="00996627"/>
    <w:rsid w:val="00996C3E"/>
    <w:rsid w:val="009A4A85"/>
    <w:rsid w:val="009A5F52"/>
    <w:rsid w:val="009A702D"/>
    <w:rsid w:val="009B0C1C"/>
    <w:rsid w:val="009B2232"/>
    <w:rsid w:val="009B59A0"/>
    <w:rsid w:val="009D025B"/>
    <w:rsid w:val="009D1266"/>
    <w:rsid w:val="009D2A69"/>
    <w:rsid w:val="009D545C"/>
    <w:rsid w:val="009D578D"/>
    <w:rsid w:val="009D5E87"/>
    <w:rsid w:val="009D6B21"/>
    <w:rsid w:val="009E01A1"/>
    <w:rsid w:val="009E5882"/>
    <w:rsid w:val="009E5C8D"/>
    <w:rsid w:val="009F038C"/>
    <w:rsid w:val="009F1006"/>
    <w:rsid w:val="009F51C4"/>
    <w:rsid w:val="009F76E4"/>
    <w:rsid w:val="00A020D3"/>
    <w:rsid w:val="00A05F37"/>
    <w:rsid w:val="00A071AC"/>
    <w:rsid w:val="00A20532"/>
    <w:rsid w:val="00A21AC4"/>
    <w:rsid w:val="00A24A0B"/>
    <w:rsid w:val="00A25953"/>
    <w:rsid w:val="00A26728"/>
    <w:rsid w:val="00A33346"/>
    <w:rsid w:val="00A373D9"/>
    <w:rsid w:val="00A46DC3"/>
    <w:rsid w:val="00A55871"/>
    <w:rsid w:val="00A55F0E"/>
    <w:rsid w:val="00A56AEA"/>
    <w:rsid w:val="00A570BA"/>
    <w:rsid w:val="00A611B0"/>
    <w:rsid w:val="00A629EA"/>
    <w:rsid w:val="00A7000E"/>
    <w:rsid w:val="00A70BD4"/>
    <w:rsid w:val="00A732CC"/>
    <w:rsid w:val="00A812F2"/>
    <w:rsid w:val="00A8185C"/>
    <w:rsid w:val="00A83B54"/>
    <w:rsid w:val="00A9009B"/>
    <w:rsid w:val="00A94BE2"/>
    <w:rsid w:val="00A950AA"/>
    <w:rsid w:val="00A95DED"/>
    <w:rsid w:val="00AA04DE"/>
    <w:rsid w:val="00AA3EF9"/>
    <w:rsid w:val="00AA4E30"/>
    <w:rsid w:val="00AA5FD3"/>
    <w:rsid w:val="00AB0B7E"/>
    <w:rsid w:val="00AB4210"/>
    <w:rsid w:val="00AB4C2C"/>
    <w:rsid w:val="00AB509F"/>
    <w:rsid w:val="00AC2712"/>
    <w:rsid w:val="00AC50DB"/>
    <w:rsid w:val="00AC6EE0"/>
    <w:rsid w:val="00AD3E1D"/>
    <w:rsid w:val="00AD50D5"/>
    <w:rsid w:val="00AE6E3B"/>
    <w:rsid w:val="00B0104E"/>
    <w:rsid w:val="00B01BDD"/>
    <w:rsid w:val="00B10767"/>
    <w:rsid w:val="00B11952"/>
    <w:rsid w:val="00B14DBC"/>
    <w:rsid w:val="00B16BA4"/>
    <w:rsid w:val="00B23572"/>
    <w:rsid w:val="00B25BBC"/>
    <w:rsid w:val="00B30DF2"/>
    <w:rsid w:val="00B33D90"/>
    <w:rsid w:val="00B34C5B"/>
    <w:rsid w:val="00B4057E"/>
    <w:rsid w:val="00B41E75"/>
    <w:rsid w:val="00B4248C"/>
    <w:rsid w:val="00B42FA3"/>
    <w:rsid w:val="00B4369F"/>
    <w:rsid w:val="00B45050"/>
    <w:rsid w:val="00B53237"/>
    <w:rsid w:val="00B54608"/>
    <w:rsid w:val="00B54B43"/>
    <w:rsid w:val="00B55398"/>
    <w:rsid w:val="00B718BB"/>
    <w:rsid w:val="00B74393"/>
    <w:rsid w:val="00B75781"/>
    <w:rsid w:val="00B76492"/>
    <w:rsid w:val="00B8110D"/>
    <w:rsid w:val="00B815EA"/>
    <w:rsid w:val="00B955F2"/>
    <w:rsid w:val="00BA0F4B"/>
    <w:rsid w:val="00BA54AF"/>
    <w:rsid w:val="00BB2EC2"/>
    <w:rsid w:val="00BB73C5"/>
    <w:rsid w:val="00BC4306"/>
    <w:rsid w:val="00BC5236"/>
    <w:rsid w:val="00BC558F"/>
    <w:rsid w:val="00BC601C"/>
    <w:rsid w:val="00BC68EC"/>
    <w:rsid w:val="00BC73E6"/>
    <w:rsid w:val="00BD2927"/>
    <w:rsid w:val="00BF2D25"/>
    <w:rsid w:val="00BF3065"/>
    <w:rsid w:val="00BF4B6A"/>
    <w:rsid w:val="00C0415E"/>
    <w:rsid w:val="00C054F6"/>
    <w:rsid w:val="00C07CA7"/>
    <w:rsid w:val="00C116DE"/>
    <w:rsid w:val="00C13825"/>
    <w:rsid w:val="00C1689A"/>
    <w:rsid w:val="00C2004E"/>
    <w:rsid w:val="00C22B1D"/>
    <w:rsid w:val="00C26D02"/>
    <w:rsid w:val="00C33647"/>
    <w:rsid w:val="00C37FFD"/>
    <w:rsid w:val="00C4002C"/>
    <w:rsid w:val="00C62CAA"/>
    <w:rsid w:val="00C62DC3"/>
    <w:rsid w:val="00C65715"/>
    <w:rsid w:val="00C661DB"/>
    <w:rsid w:val="00C73FC7"/>
    <w:rsid w:val="00C76A7C"/>
    <w:rsid w:val="00C84A38"/>
    <w:rsid w:val="00C8556B"/>
    <w:rsid w:val="00C87E39"/>
    <w:rsid w:val="00C96C70"/>
    <w:rsid w:val="00CA097D"/>
    <w:rsid w:val="00CA6D3B"/>
    <w:rsid w:val="00CB4087"/>
    <w:rsid w:val="00CB764B"/>
    <w:rsid w:val="00CC0492"/>
    <w:rsid w:val="00CC2B7B"/>
    <w:rsid w:val="00CC3CCC"/>
    <w:rsid w:val="00CC5926"/>
    <w:rsid w:val="00CC6C80"/>
    <w:rsid w:val="00CC6D77"/>
    <w:rsid w:val="00CD437B"/>
    <w:rsid w:val="00CD5456"/>
    <w:rsid w:val="00CE00D6"/>
    <w:rsid w:val="00CE30C5"/>
    <w:rsid w:val="00CF199E"/>
    <w:rsid w:val="00CF2EFE"/>
    <w:rsid w:val="00CF35E6"/>
    <w:rsid w:val="00D02CB8"/>
    <w:rsid w:val="00D05136"/>
    <w:rsid w:val="00D06453"/>
    <w:rsid w:val="00D0715C"/>
    <w:rsid w:val="00D1080D"/>
    <w:rsid w:val="00D12794"/>
    <w:rsid w:val="00D133F8"/>
    <w:rsid w:val="00D163DE"/>
    <w:rsid w:val="00D20AD3"/>
    <w:rsid w:val="00D2281A"/>
    <w:rsid w:val="00D23C6B"/>
    <w:rsid w:val="00D23DB1"/>
    <w:rsid w:val="00D24C50"/>
    <w:rsid w:val="00D37AE9"/>
    <w:rsid w:val="00D43111"/>
    <w:rsid w:val="00D4325A"/>
    <w:rsid w:val="00D52AB0"/>
    <w:rsid w:val="00D532A2"/>
    <w:rsid w:val="00D53FBF"/>
    <w:rsid w:val="00D563BD"/>
    <w:rsid w:val="00D60E8E"/>
    <w:rsid w:val="00D6495D"/>
    <w:rsid w:val="00D64CE2"/>
    <w:rsid w:val="00D64E7F"/>
    <w:rsid w:val="00D65D38"/>
    <w:rsid w:val="00D70B90"/>
    <w:rsid w:val="00D72363"/>
    <w:rsid w:val="00D75E04"/>
    <w:rsid w:val="00D76F0F"/>
    <w:rsid w:val="00D77FD0"/>
    <w:rsid w:val="00D8257B"/>
    <w:rsid w:val="00D83FBE"/>
    <w:rsid w:val="00D84557"/>
    <w:rsid w:val="00D86ACE"/>
    <w:rsid w:val="00D90077"/>
    <w:rsid w:val="00D9088C"/>
    <w:rsid w:val="00D91457"/>
    <w:rsid w:val="00D927C8"/>
    <w:rsid w:val="00D93C53"/>
    <w:rsid w:val="00D97EAE"/>
    <w:rsid w:val="00DA3AF0"/>
    <w:rsid w:val="00DA5A32"/>
    <w:rsid w:val="00DB050F"/>
    <w:rsid w:val="00DB0804"/>
    <w:rsid w:val="00DB1E30"/>
    <w:rsid w:val="00DB2976"/>
    <w:rsid w:val="00DC7097"/>
    <w:rsid w:val="00DD0CB0"/>
    <w:rsid w:val="00DD2AFC"/>
    <w:rsid w:val="00DE744B"/>
    <w:rsid w:val="00E005C0"/>
    <w:rsid w:val="00E022B6"/>
    <w:rsid w:val="00E02EC7"/>
    <w:rsid w:val="00E1364A"/>
    <w:rsid w:val="00E243E1"/>
    <w:rsid w:val="00E270BD"/>
    <w:rsid w:val="00E34635"/>
    <w:rsid w:val="00E40AAD"/>
    <w:rsid w:val="00E41B9B"/>
    <w:rsid w:val="00E43CFF"/>
    <w:rsid w:val="00E52B25"/>
    <w:rsid w:val="00E5752C"/>
    <w:rsid w:val="00E57E50"/>
    <w:rsid w:val="00E61F13"/>
    <w:rsid w:val="00E65F4C"/>
    <w:rsid w:val="00E719B0"/>
    <w:rsid w:val="00E72603"/>
    <w:rsid w:val="00E73113"/>
    <w:rsid w:val="00E74688"/>
    <w:rsid w:val="00E8454D"/>
    <w:rsid w:val="00E86061"/>
    <w:rsid w:val="00E90B14"/>
    <w:rsid w:val="00E94BAD"/>
    <w:rsid w:val="00EA1655"/>
    <w:rsid w:val="00EA18B9"/>
    <w:rsid w:val="00EB135F"/>
    <w:rsid w:val="00EB1F10"/>
    <w:rsid w:val="00EB1F13"/>
    <w:rsid w:val="00EB586B"/>
    <w:rsid w:val="00EB5E0C"/>
    <w:rsid w:val="00EC0839"/>
    <w:rsid w:val="00EC7B73"/>
    <w:rsid w:val="00ED00FD"/>
    <w:rsid w:val="00ED33C7"/>
    <w:rsid w:val="00ED4662"/>
    <w:rsid w:val="00EE1FE8"/>
    <w:rsid w:val="00EE2E0A"/>
    <w:rsid w:val="00F01E17"/>
    <w:rsid w:val="00F04033"/>
    <w:rsid w:val="00F05F0C"/>
    <w:rsid w:val="00F07457"/>
    <w:rsid w:val="00F110D0"/>
    <w:rsid w:val="00F15875"/>
    <w:rsid w:val="00F169DE"/>
    <w:rsid w:val="00F27C04"/>
    <w:rsid w:val="00F34DAA"/>
    <w:rsid w:val="00F40C61"/>
    <w:rsid w:val="00F40F60"/>
    <w:rsid w:val="00F46759"/>
    <w:rsid w:val="00F503FE"/>
    <w:rsid w:val="00F635DE"/>
    <w:rsid w:val="00F636A8"/>
    <w:rsid w:val="00F648A7"/>
    <w:rsid w:val="00F72E7F"/>
    <w:rsid w:val="00F738C4"/>
    <w:rsid w:val="00F87D11"/>
    <w:rsid w:val="00F94376"/>
    <w:rsid w:val="00FA10D1"/>
    <w:rsid w:val="00FA2C29"/>
    <w:rsid w:val="00FA3BD5"/>
    <w:rsid w:val="00FA4055"/>
    <w:rsid w:val="00FB3914"/>
    <w:rsid w:val="00FB44DB"/>
    <w:rsid w:val="00FB7DC5"/>
    <w:rsid w:val="00FC1AB1"/>
    <w:rsid w:val="00FC315D"/>
    <w:rsid w:val="00FC664C"/>
    <w:rsid w:val="00FC76F2"/>
    <w:rsid w:val="00FD261B"/>
    <w:rsid w:val="00FE02CE"/>
    <w:rsid w:val="00FE31E9"/>
    <w:rsid w:val="00FE545D"/>
    <w:rsid w:val="00FE5A26"/>
    <w:rsid w:val="00FE7155"/>
    <w:rsid w:val="00FF0260"/>
    <w:rsid w:val="00FF120D"/>
    <w:rsid w:val="00FF3452"/>
    <w:rsid w:val="00FF43DF"/>
    <w:rsid w:val="00FF79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AB6A"/>
  <w15:chartTrackingRefBased/>
  <w15:docId w15:val="{A474A67F-5577-4C71-93F1-BF2C7A4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A1A"/>
  </w:style>
  <w:style w:type="paragraph" w:styleId="Heading1">
    <w:name w:val="heading 1"/>
    <w:basedOn w:val="Normal"/>
    <w:next w:val="Normal"/>
    <w:link w:val="Heading1Char"/>
    <w:uiPriority w:val="9"/>
    <w:qFormat/>
    <w:rsid w:val="009D2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A69"/>
    <w:rPr>
      <w:rFonts w:eastAsiaTheme="majorEastAsia" w:cstheme="majorBidi"/>
      <w:color w:val="272727" w:themeColor="text1" w:themeTint="D8"/>
    </w:rPr>
  </w:style>
  <w:style w:type="paragraph" w:styleId="Title">
    <w:name w:val="Title"/>
    <w:basedOn w:val="Normal"/>
    <w:next w:val="Normal"/>
    <w:link w:val="TitleChar"/>
    <w:uiPriority w:val="10"/>
    <w:qFormat/>
    <w:rsid w:val="009D2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A69"/>
    <w:pPr>
      <w:spacing w:before="160"/>
      <w:jc w:val="center"/>
    </w:pPr>
    <w:rPr>
      <w:i/>
      <w:iCs/>
      <w:color w:val="404040" w:themeColor="text1" w:themeTint="BF"/>
    </w:rPr>
  </w:style>
  <w:style w:type="character" w:customStyle="1" w:styleId="QuoteChar">
    <w:name w:val="Quote Char"/>
    <w:basedOn w:val="DefaultParagraphFont"/>
    <w:link w:val="Quote"/>
    <w:uiPriority w:val="29"/>
    <w:rsid w:val="009D2A69"/>
    <w:rPr>
      <w:i/>
      <w:iCs/>
      <w:color w:val="404040" w:themeColor="text1" w:themeTint="BF"/>
    </w:rPr>
  </w:style>
  <w:style w:type="paragraph" w:styleId="ListParagraph">
    <w:name w:val="List Paragraph"/>
    <w:basedOn w:val="Normal"/>
    <w:uiPriority w:val="34"/>
    <w:qFormat/>
    <w:rsid w:val="009D2A69"/>
    <w:pPr>
      <w:ind w:left="720"/>
      <w:contextualSpacing/>
    </w:pPr>
  </w:style>
  <w:style w:type="character" w:styleId="IntenseEmphasis">
    <w:name w:val="Intense Emphasis"/>
    <w:basedOn w:val="DefaultParagraphFont"/>
    <w:uiPriority w:val="21"/>
    <w:qFormat/>
    <w:rsid w:val="009D2A69"/>
    <w:rPr>
      <w:i/>
      <w:iCs/>
      <w:color w:val="0F4761" w:themeColor="accent1" w:themeShade="BF"/>
    </w:rPr>
  </w:style>
  <w:style w:type="paragraph" w:styleId="IntenseQuote">
    <w:name w:val="Intense Quote"/>
    <w:basedOn w:val="Normal"/>
    <w:next w:val="Normal"/>
    <w:link w:val="IntenseQuoteChar"/>
    <w:uiPriority w:val="30"/>
    <w:qFormat/>
    <w:rsid w:val="009D2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A69"/>
    <w:rPr>
      <w:i/>
      <w:iCs/>
      <w:color w:val="0F4761" w:themeColor="accent1" w:themeShade="BF"/>
    </w:rPr>
  </w:style>
  <w:style w:type="character" w:styleId="IntenseReference">
    <w:name w:val="Intense Reference"/>
    <w:basedOn w:val="DefaultParagraphFont"/>
    <w:uiPriority w:val="32"/>
    <w:qFormat/>
    <w:rsid w:val="009D2A69"/>
    <w:rPr>
      <w:b/>
      <w:bCs/>
      <w:smallCaps/>
      <w:color w:val="0F4761" w:themeColor="accent1" w:themeShade="BF"/>
      <w:spacing w:val="5"/>
    </w:rPr>
  </w:style>
  <w:style w:type="paragraph" w:styleId="Header">
    <w:name w:val="header"/>
    <w:basedOn w:val="Normal"/>
    <w:link w:val="HeaderChar"/>
    <w:uiPriority w:val="99"/>
    <w:unhideWhenUsed/>
    <w:rsid w:val="005F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F45"/>
  </w:style>
  <w:style w:type="paragraph" w:styleId="Footer">
    <w:name w:val="footer"/>
    <w:basedOn w:val="Normal"/>
    <w:link w:val="FooterChar"/>
    <w:uiPriority w:val="99"/>
    <w:unhideWhenUsed/>
    <w:rsid w:val="005F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F45"/>
  </w:style>
  <w:style w:type="character" w:customStyle="1" w:styleId="sr-inner">
    <w:name w:val="sr-inner"/>
    <w:basedOn w:val="DefaultParagraphFont"/>
    <w:rsid w:val="00B8110D"/>
  </w:style>
  <w:style w:type="character" w:styleId="Hyperlink">
    <w:name w:val="Hyperlink"/>
    <w:basedOn w:val="DefaultParagraphFont"/>
    <w:uiPriority w:val="99"/>
    <w:unhideWhenUsed/>
    <w:rsid w:val="00103E0F"/>
    <w:rPr>
      <w:color w:val="467886" w:themeColor="hyperlink"/>
      <w:u w:val="single"/>
    </w:rPr>
  </w:style>
  <w:style w:type="character" w:customStyle="1" w:styleId="UnresolvedMention1">
    <w:name w:val="Unresolved Mention1"/>
    <w:basedOn w:val="DefaultParagraphFont"/>
    <w:uiPriority w:val="99"/>
    <w:semiHidden/>
    <w:unhideWhenUsed/>
    <w:rsid w:val="00103E0F"/>
    <w:rPr>
      <w:color w:val="605E5C"/>
      <w:shd w:val="clear" w:color="auto" w:fill="E1DFDD"/>
    </w:rPr>
  </w:style>
  <w:style w:type="table" w:styleId="TableGrid">
    <w:name w:val="Table Grid"/>
    <w:basedOn w:val="TableNormal"/>
    <w:uiPriority w:val="39"/>
    <w:rsid w:val="002D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4AF6"/>
    <w:rPr>
      <w:color w:val="605E5C"/>
      <w:shd w:val="clear" w:color="auto" w:fill="E1DFDD"/>
    </w:rPr>
  </w:style>
  <w:style w:type="paragraph" w:styleId="NormalWeb">
    <w:name w:val="Normal (Web)"/>
    <w:basedOn w:val="Normal"/>
    <w:uiPriority w:val="99"/>
    <w:semiHidden/>
    <w:unhideWhenUsed/>
    <w:rsid w:val="006409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38">
      <w:bodyDiv w:val="1"/>
      <w:marLeft w:val="0"/>
      <w:marRight w:val="0"/>
      <w:marTop w:val="0"/>
      <w:marBottom w:val="0"/>
      <w:divBdr>
        <w:top w:val="none" w:sz="0" w:space="0" w:color="auto"/>
        <w:left w:val="none" w:sz="0" w:space="0" w:color="auto"/>
        <w:bottom w:val="none" w:sz="0" w:space="0" w:color="auto"/>
        <w:right w:val="none" w:sz="0" w:space="0" w:color="auto"/>
      </w:divBdr>
    </w:div>
    <w:div w:id="5985441">
      <w:bodyDiv w:val="1"/>
      <w:marLeft w:val="0"/>
      <w:marRight w:val="0"/>
      <w:marTop w:val="0"/>
      <w:marBottom w:val="0"/>
      <w:divBdr>
        <w:top w:val="none" w:sz="0" w:space="0" w:color="auto"/>
        <w:left w:val="none" w:sz="0" w:space="0" w:color="auto"/>
        <w:bottom w:val="none" w:sz="0" w:space="0" w:color="auto"/>
        <w:right w:val="none" w:sz="0" w:space="0" w:color="auto"/>
      </w:divBdr>
    </w:div>
    <w:div w:id="7369713">
      <w:bodyDiv w:val="1"/>
      <w:marLeft w:val="0"/>
      <w:marRight w:val="0"/>
      <w:marTop w:val="0"/>
      <w:marBottom w:val="0"/>
      <w:divBdr>
        <w:top w:val="none" w:sz="0" w:space="0" w:color="auto"/>
        <w:left w:val="none" w:sz="0" w:space="0" w:color="auto"/>
        <w:bottom w:val="none" w:sz="0" w:space="0" w:color="auto"/>
        <w:right w:val="none" w:sz="0" w:space="0" w:color="auto"/>
      </w:divBdr>
    </w:div>
    <w:div w:id="8143864">
      <w:bodyDiv w:val="1"/>
      <w:marLeft w:val="0"/>
      <w:marRight w:val="0"/>
      <w:marTop w:val="0"/>
      <w:marBottom w:val="0"/>
      <w:divBdr>
        <w:top w:val="none" w:sz="0" w:space="0" w:color="auto"/>
        <w:left w:val="none" w:sz="0" w:space="0" w:color="auto"/>
        <w:bottom w:val="none" w:sz="0" w:space="0" w:color="auto"/>
        <w:right w:val="none" w:sz="0" w:space="0" w:color="auto"/>
      </w:divBdr>
    </w:div>
    <w:div w:id="20741715">
      <w:bodyDiv w:val="1"/>
      <w:marLeft w:val="0"/>
      <w:marRight w:val="0"/>
      <w:marTop w:val="0"/>
      <w:marBottom w:val="0"/>
      <w:divBdr>
        <w:top w:val="none" w:sz="0" w:space="0" w:color="auto"/>
        <w:left w:val="none" w:sz="0" w:space="0" w:color="auto"/>
        <w:bottom w:val="none" w:sz="0" w:space="0" w:color="auto"/>
        <w:right w:val="none" w:sz="0" w:space="0" w:color="auto"/>
      </w:divBdr>
    </w:div>
    <w:div w:id="24404282">
      <w:bodyDiv w:val="1"/>
      <w:marLeft w:val="0"/>
      <w:marRight w:val="0"/>
      <w:marTop w:val="0"/>
      <w:marBottom w:val="0"/>
      <w:divBdr>
        <w:top w:val="none" w:sz="0" w:space="0" w:color="auto"/>
        <w:left w:val="none" w:sz="0" w:space="0" w:color="auto"/>
        <w:bottom w:val="none" w:sz="0" w:space="0" w:color="auto"/>
        <w:right w:val="none" w:sz="0" w:space="0" w:color="auto"/>
      </w:divBdr>
    </w:div>
    <w:div w:id="32074503">
      <w:bodyDiv w:val="1"/>
      <w:marLeft w:val="0"/>
      <w:marRight w:val="0"/>
      <w:marTop w:val="0"/>
      <w:marBottom w:val="0"/>
      <w:divBdr>
        <w:top w:val="none" w:sz="0" w:space="0" w:color="auto"/>
        <w:left w:val="none" w:sz="0" w:space="0" w:color="auto"/>
        <w:bottom w:val="none" w:sz="0" w:space="0" w:color="auto"/>
        <w:right w:val="none" w:sz="0" w:space="0" w:color="auto"/>
      </w:divBdr>
    </w:div>
    <w:div w:id="44574905">
      <w:bodyDiv w:val="1"/>
      <w:marLeft w:val="0"/>
      <w:marRight w:val="0"/>
      <w:marTop w:val="0"/>
      <w:marBottom w:val="0"/>
      <w:divBdr>
        <w:top w:val="none" w:sz="0" w:space="0" w:color="auto"/>
        <w:left w:val="none" w:sz="0" w:space="0" w:color="auto"/>
        <w:bottom w:val="none" w:sz="0" w:space="0" w:color="auto"/>
        <w:right w:val="none" w:sz="0" w:space="0" w:color="auto"/>
      </w:divBdr>
    </w:div>
    <w:div w:id="63650053">
      <w:bodyDiv w:val="1"/>
      <w:marLeft w:val="0"/>
      <w:marRight w:val="0"/>
      <w:marTop w:val="0"/>
      <w:marBottom w:val="0"/>
      <w:divBdr>
        <w:top w:val="none" w:sz="0" w:space="0" w:color="auto"/>
        <w:left w:val="none" w:sz="0" w:space="0" w:color="auto"/>
        <w:bottom w:val="none" w:sz="0" w:space="0" w:color="auto"/>
        <w:right w:val="none" w:sz="0" w:space="0" w:color="auto"/>
      </w:divBdr>
    </w:div>
    <w:div w:id="76486840">
      <w:bodyDiv w:val="1"/>
      <w:marLeft w:val="0"/>
      <w:marRight w:val="0"/>
      <w:marTop w:val="0"/>
      <w:marBottom w:val="0"/>
      <w:divBdr>
        <w:top w:val="none" w:sz="0" w:space="0" w:color="auto"/>
        <w:left w:val="none" w:sz="0" w:space="0" w:color="auto"/>
        <w:bottom w:val="none" w:sz="0" w:space="0" w:color="auto"/>
        <w:right w:val="none" w:sz="0" w:space="0" w:color="auto"/>
      </w:divBdr>
    </w:div>
    <w:div w:id="82147252">
      <w:bodyDiv w:val="1"/>
      <w:marLeft w:val="0"/>
      <w:marRight w:val="0"/>
      <w:marTop w:val="0"/>
      <w:marBottom w:val="0"/>
      <w:divBdr>
        <w:top w:val="none" w:sz="0" w:space="0" w:color="auto"/>
        <w:left w:val="none" w:sz="0" w:space="0" w:color="auto"/>
        <w:bottom w:val="none" w:sz="0" w:space="0" w:color="auto"/>
        <w:right w:val="none" w:sz="0" w:space="0" w:color="auto"/>
      </w:divBdr>
    </w:div>
    <w:div w:id="87360386">
      <w:bodyDiv w:val="1"/>
      <w:marLeft w:val="0"/>
      <w:marRight w:val="0"/>
      <w:marTop w:val="0"/>
      <w:marBottom w:val="0"/>
      <w:divBdr>
        <w:top w:val="none" w:sz="0" w:space="0" w:color="auto"/>
        <w:left w:val="none" w:sz="0" w:space="0" w:color="auto"/>
        <w:bottom w:val="none" w:sz="0" w:space="0" w:color="auto"/>
        <w:right w:val="none" w:sz="0" w:space="0" w:color="auto"/>
      </w:divBdr>
    </w:div>
    <w:div w:id="109398957">
      <w:bodyDiv w:val="1"/>
      <w:marLeft w:val="0"/>
      <w:marRight w:val="0"/>
      <w:marTop w:val="0"/>
      <w:marBottom w:val="0"/>
      <w:divBdr>
        <w:top w:val="none" w:sz="0" w:space="0" w:color="auto"/>
        <w:left w:val="none" w:sz="0" w:space="0" w:color="auto"/>
        <w:bottom w:val="none" w:sz="0" w:space="0" w:color="auto"/>
        <w:right w:val="none" w:sz="0" w:space="0" w:color="auto"/>
      </w:divBdr>
    </w:div>
    <w:div w:id="155268906">
      <w:bodyDiv w:val="1"/>
      <w:marLeft w:val="0"/>
      <w:marRight w:val="0"/>
      <w:marTop w:val="0"/>
      <w:marBottom w:val="0"/>
      <w:divBdr>
        <w:top w:val="none" w:sz="0" w:space="0" w:color="auto"/>
        <w:left w:val="none" w:sz="0" w:space="0" w:color="auto"/>
        <w:bottom w:val="none" w:sz="0" w:space="0" w:color="auto"/>
        <w:right w:val="none" w:sz="0" w:space="0" w:color="auto"/>
      </w:divBdr>
    </w:div>
    <w:div w:id="205146037">
      <w:bodyDiv w:val="1"/>
      <w:marLeft w:val="0"/>
      <w:marRight w:val="0"/>
      <w:marTop w:val="0"/>
      <w:marBottom w:val="0"/>
      <w:divBdr>
        <w:top w:val="none" w:sz="0" w:space="0" w:color="auto"/>
        <w:left w:val="none" w:sz="0" w:space="0" w:color="auto"/>
        <w:bottom w:val="none" w:sz="0" w:space="0" w:color="auto"/>
        <w:right w:val="none" w:sz="0" w:space="0" w:color="auto"/>
      </w:divBdr>
    </w:div>
    <w:div w:id="210727540">
      <w:bodyDiv w:val="1"/>
      <w:marLeft w:val="0"/>
      <w:marRight w:val="0"/>
      <w:marTop w:val="0"/>
      <w:marBottom w:val="0"/>
      <w:divBdr>
        <w:top w:val="none" w:sz="0" w:space="0" w:color="auto"/>
        <w:left w:val="none" w:sz="0" w:space="0" w:color="auto"/>
        <w:bottom w:val="none" w:sz="0" w:space="0" w:color="auto"/>
        <w:right w:val="none" w:sz="0" w:space="0" w:color="auto"/>
      </w:divBdr>
    </w:div>
    <w:div w:id="252595183">
      <w:bodyDiv w:val="1"/>
      <w:marLeft w:val="0"/>
      <w:marRight w:val="0"/>
      <w:marTop w:val="0"/>
      <w:marBottom w:val="0"/>
      <w:divBdr>
        <w:top w:val="none" w:sz="0" w:space="0" w:color="auto"/>
        <w:left w:val="none" w:sz="0" w:space="0" w:color="auto"/>
        <w:bottom w:val="none" w:sz="0" w:space="0" w:color="auto"/>
        <w:right w:val="none" w:sz="0" w:space="0" w:color="auto"/>
      </w:divBdr>
    </w:div>
    <w:div w:id="258297767">
      <w:bodyDiv w:val="1"/>
      <w:marLeft w:val="0"/>
      <w:marRight w:val="0"/>
      <w:marTop w:val="0"/>
      <w:marBottom w:val="0"/>
      <w:divBdr>
        <w:top w:val="none" w:sz="0" w:space="0" w:color="auto"/>
        <w:left w:val="none" w:sz="0" w:space="0" w:color="auto"/>
        <w:bottom w:val="none" w:sz="0" w:space="0" w:color="auto"/>
        <w:right w:val="none" w:sz="0" w:space="0" w:color="auto"/>
      </w:divBdr>
    </w:div>
    <w:div w:id="261114437">
      <w:bodyDiv w:val="1"/>
      <w:marLeft w:val="0"/>
      <w:marRight w:val="0"/>
      <w:marTop w:val="0"/>
      <w:marBottom w:val="0"/>
      <w:divBdr>
        <w:top w:val="none" w:sz="0" w:space="0" w:color="auto"/>
        <w:left w:val="none" w:sz="0" w:space="0" w:color="auto"/>
        <w:bottom w:val="none" w:sz="0" w:space="0" w:color="auto"/>
        <w:right w:val="none" w:sz="0" w:space="0" w:color="auto"/>
      </w:divBdr>
    </w:div>
    <w:div w:id="272252627">
      <w:bodyDiv w:val="1"/>
      <w:marLeft w:val="0"/>
      <w:marRight w:val="0"/>
      <w:marTop w:val="0"/>
      <w:marBottom w:val="0"/>
      <w:divBdr>
        <w:top w:val="none" w:sz="0" w:space="0" w:color="auto"/>
        <w:left w:val="none" w:sz="0" w:space="0" w:color="auto"/>
        <w:bottom w:val="none" w:sz="0" w:space="0" w:color="auto"/>
        <w:right w:val="none" w:sz="0" w:space="0" w:color="auto"/>
      </w:divBdr>
    </w:div>
    <w:div w:id="285476535">
      <w:bodyDiv w:val="1"/>
      <w:marLeft w:val="0"/>
      <w:marRight w:val="0"/>
      <w:marTop w:val="0"/>
      <w:marBottom w:val="0"/>
      <w:divBdr>
        <w:top w:val="none" w:sz="0" w:space="0" w:color="auto"/>
        <w:left w:val="none" w:sz="0" w:space="0" w:color="auto"/>
        <w:bottom w:val="none" w:sz="0" w:space="0" w:color="auto"/>
        <w:right w:val="none" w:sz="0" w:space="0" w:color="auto"/>
      </w:divBdr>
    </w:div>
    <w:div w:id="291714835">
      <w:bodyDiv w:val="1"/>
      <w:marLeft w:val="0"/>
      <w:marRight w:val="0"/>
      <w:marTop w:val="0"/>
      <w:marBottom w:val="0"/>
      <w:divBdr>
        <w:top w:val="none" w:sz="0" w:space="0" w:color="auto"/>
        <w:left w:val="none" w:sz="0" w:space="0" w:color="auto"/>
        <w:bottom w:val="none" w:sz="0" w:space="0" w:color="auto"/>
        <w:right w:val="none" w:sz="0" w:space="0" w:color="auto"/>
      </w:divBdr>
    </w:div>
    <w:div w:id="310867742">
      <w:bodyDiv w:val="1"/>
      <w:marLeft w:val="0"/>
      <w:marRight w:val="0"/>
      <w:marTop w:val="0"/>
      <w:marBottom w:val="0"/>
      <w:divBdr>
        <w:top w:val="none" w:sz="0" w:space="0" w:color="auto"/>
        <w:left w:val="none" w:sz="0" w:space="0" w:color="auto"/>
        <w:bottom w:val="none" w:sz="0" w:space="0" w:color="auto"/>
        <w:right w:val="none" w:sz="0" w:space="0" w:color="auto"/>
      </w:divBdr>
    </w:div>
    <w:div w:id="321155689">
      <w:bodyDiv w:val="1"/>
      <w:marLeft w:val="0"/>
      <w:marRight w:val="0"/>
      <w:marTop w:val="0"/>
      <w:marBottom w:val="0"/>
      <w:divBdr>
        <w:top w:val="none" w:sz="0" w:space="0" w:color="auto"/>
        <w:left w:val="none" w:sz="0" w:space="0" w:color="auto"/>
        <w:bottom w:val="none" w:sz="0" w:space="0" w:color="auto"/>
        <w:right w:val="none" w:sz="0" w:space="0" w:color="auto"/>
      </w:divBdr>
    </w:div>
    <w:div w:id="322196937">
      <w:bodyDiv w:val="1"/>
      <w:marLeft w:val="0"/>
      <w:marRight w:val="0"/>
      <w:marTop w:val="0"/>
      <w:marBottom w:val="0"/>
      <w:divBdr>
        <w:top w:val="none" w:sz="0" w:space="0" w:color="auto"/>
        <w:left w:val="none" w:sz="0" w:space="0" w:color="auto"/>
        <w:bottom w:val="none" w:sz="0" w:space="0" w:color="auto"/>
        <w:right w:val="none" w:sz="0" w:space="0" w:color="auto"/>
      </w:divBdr>
    </w:div>
    <w:div w:id="322244469">
      <w:bodyDiv w:val="1"/>
      <w:marLeft w:val="0"/>
      <w:marRight w:val="0"/>
      <w:marTop w:val="0"/>
      <w:marBottom w:val="0"/>
      <w:divBdr>
        <w:top w:val="none" w:sz="0" w:space="0" w:color="auto"/>
        <w:left w:val="none" w:sz="0" w:space="0" w:color="auto"/>
        <w:bottom w:val="none" w:sz="0" w:space="0" w:color="auto"/>
        <w:right w:val="none" w:sz="0" w:space="0" w:color="auto"/>
      </w:divBdr>
    </w:div>
    <w:div w:id="352926677">
      <w:bodyDiv w:val="1"/>
      <w:marLeft w:val="0"/>
      <w:marRight w:val="0"/>
      <w:marTop w:val="0"/>
      <w:marBottom w:val="0"/>
      <w:divBdr>
        <w:top w:val="none" w:sz="0" w:space="0" w:color="auto"/>
        <w:left w:val="none" w:sz="0" w:space="0" w:color="auto"/>
        <w:bottom w:val="none" w:sz="0" w:space="0" w:color="auto"/>
        <w:right w:val="none" w:sz="0" w:space="0" w:color="auto"/>
      </w:divBdr>
    </w:div>
    <w:div w:id="364334461">
      <w:bodyDiv w:val="1"/>
      <w:marLeft w:val="0"/>
      <w:marRight w:val="0"/>
      <w:marTop w:val="0"/>
      <w:marBottom w:val="0"/>
      <w:divBdr>
        <w:top w:val="none" w:sz="0" w:space="0" w:color="auto"/>
        <w:left w:val="none" w:sz="0" w:space="0" w:color="auto"/>
        <w:bottom w:val="none" w:sz="0" w:space="0" w:color="auto"/>
        <w:right w:val="none" w:sz="0" w:space="0" w:color="auto"/>
      </w:divBdr>
    </w:div>
    <w:div w:id="401373064">
      <w:bodyDiv w:val="1"/>
      <w:marLeft w:val="0"/>
      <w:marRight w:val="0"/>
      <w:marTop w:val="0"/>
      <w:marBottom w:val="0"/>
      <w:divBdr>
        <w:top w:val="none" w:sz="0" w:space="0" w:color="auto"/>
        <w:left w:val="none" w:sz="0" w:space="0" w:color="auto"/>
        <w:bottom w:val="none" w:sz="0" w:space="0" w:color="auto"/>
        <w:right w:val="none" w:sz="0" w:space="0" w:color="auto"/>
      </w:divBdr>
    </w:div>
    <w:div w:id="406266185">
      <w:bodyDiv w:val="1"/>
      <w:marLeft w:val="0"/>
      <w:marRight w:val="0"/>
      <w:marTop w:val="0"/>
      <w:marBottom w:val="0"/>
      <w:divBdr>
        <w:top w:val="none" w:sz="0" w:space="0" w:color="auto"/>
        <w:left w:val="none" w:sz="0" w:space="0" w:color="auto"/>
        <w:bottom w:val="none" w:sz="0" w:space="0" w:color="auto"/>
        <w:right w:val="none" w:sz="0" w:space="0" w:color="auto"/>
      </w:divBdr>
    </w:div>
    <w:div w:id="406346478">
      <w:bodyDiv w:val="1"/>
      <w:marLeft w:val="0"/>
      <w:marRight w:val="0"/>
      <w:marTop w:val="0"/>
      <w:marBottom w:val="0"/>
      <w:divBdr>
        <w:top w:val="none" w:sz="0" w:space="0" w:color="auto"/>
        <w:left w:val="none" w:sz="0" w:space="0" w:color="auto"/>
        <w:bottom w:val="none" w:sz="0" w:space="0" w:color="auto"/>
        <w:right w:val="none" w:sz="0" w:space="0" w:color="auto"/>
      </w:divBdr>
    </w:div>
    <w:div w:id="410204875">
      <w:bodyDiv w:val="1"/>
      <w:marLeft w:val="0"/>
      <w:marRight w:val="0"/>
      <w:marTop w:val="0"/>
      <w:marBottom w:val="0"/>
      <w:divBdr>
        <w:top w:val="none" w:sz="0" w:space="0" w:color="auto"/>
        <w:left w:val="none" w:sz="0" w:space="0" w:color="auto"/>
        <w:bottom w:val="none" w:sz="0" w:space="0" w:color="auto"/>
        <w:right w:val="none" w:sz="0" w:space="0" w:color="auto"/>
      </w:divBdr>
    </w:div>
    <w:div w:id="425687120">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455487883">
      <w:bodyDiv w:val="1"/>
      <w:marLeft w:val="0"/>
      <w:marRight w:val="0"/>
      <w:marTop w:val="0"/>
      <w:marBottom w:val="0"/>
      <w:divBdr>
        <w:top w:val="none" w:sz="0" w:space="0" w:color="auto"/>
        <w:left w:val="none" w:sz="0" w:space="0" w:color="auto"/>
        <w:bottom w:val="none" w:sz="0" w:space="0" w:color="auto"/>
        <w:right w:val="none" w:sz="0" w:space="0" w:color="auto"/>
      </w:divBdr>
    </w:div>
    <w:div w:id="470750720">
      <w:bodyDiv w:val="1"/>
      <w:marLeft w:val="0"/>
      <w:marRight w:val="0"/>
      <w:marTop w:val="0"/>
      <w:marBottom w:val="0"/>
      <w:divBdr>
        <w:top w:val="none" w:sz="0" w:space="0" w:color="auto"/>
        <w:left w:val="none" w:sz="0" w:space="0" w:color="auto"/>
        <w:bottom w:val="none" w:sz="0" w:space="0" w:color="auto"/>
        <w:right w:val="none" w:sz="0" w:space="0" w:color="auto"/>
      </w:divBdr>
    </w:div>
    <w:div w:id="487092599">
      <w:bodyDiv w:val="1"/>
      <w:marLeft w:val="0"/>
      <w:marRight w:val="0"/>
      <w:marTop w:val="0"/>
      <w:marBottom w:val="0"/>
      <w:divBdr>
        <w:top w:val="none" w:sz="0" w:space="0" w:color="auto"/>
        <w:left w:val="none" w:sz="0" w:space="0" w:color="auto"/>
        <w:bottom w:val="none" w:sz="0" w:space="0" w:color="auto"/>
        <w:right w:val="none" w:sz="0" w:space="0" w:color="auto"/>
      </w:divBdr>
    </w:div>
    <w:div w:id="491484908">
      <w:bodyDiv w:val="1"/>
      <w:marLeft w:val="0"/>
      <w:marRight w:val="0"/>
      <w:marTop w:val="0"/>
      <w:marBottom w:val="0"/>
      <w:divBdr>
        <w:top w:val="none" w:sz="0" w:space="0" w:color="auto"/>
        <w:left w:val="none" w:sz="0" w:space="0" w:color="auto"/>
        <w:bottom w:val="none" w:sz="0" w:space="0" w:color="auto"/>
        <w:right w:val="none" w:sz="0" w:space="0" w:color="auto"/>
      </w:divBdr>
    </w:div>
    <w:div w:id="495266607">
      <w:bodyDiv w:val="1"/>
      <w:marLeft w:val="0"/>
      <w:marRight w:val="0"/>
      <w:marTop w:val="0"/>
      <w:marBottom w:val="0"/>
      <w:divBdr>
        <w:top w:val="none" w:sz="0" w:space="0" w:color="auto"/>
        <w:left w:val="none" w:sz="0" w:space="0" w:color="auto"/>
        <w:bottom w:val="none" w:sz="0" w:space="0" w:color="auto"/>
        <w:right w:val="none" w:sz="0" w:space="0" w:color="auto"/>
      </w:divBdr>
    </w:div>
    <w:div w:id="505176495">
      <w:bodyDiv w:val="1"/>
      <w:marLeft w:val="0"/>
      <w:marRight w:val="0"/>
      <w:marTop w:val="0"/>
      <w:marBottom w:val="0"/>
      <w:divBdr>
        <w:top w:val="none" w:sz="0" w:space="0" w:color="auto"/>
        <w:left w:val="none" w:sz="0" w:space="0" w:color="auto"/>
        <w:bottom w:val="none" w:sz="0" w:space="0" w:color="auto"/>
        <w:right w:val="none" w:sz="0" w:space="0" w:color="auto"/>
      </w:divBdr>
    </w:div>
    <w:div w:id="573979122">
      <w:bodyDiv w:val="1"/>
      <w:marLeft w:val="0"/>
      <w:marRight w:val="0"/>
      <w:marTop w:val="0"/>
      <w:marBottom w:val="0"/>
      <w:divBdr>
        <w:top w:val="none" w:sz="0" w:space="0" w:color="auto"/>
        <w:left w:val="none" w:sz="0" w:space="0" w:color="auto"/>
        <w:bottom w:val="none" w:sz="0" w:space="0" w:color="auto"/>
        <w:right w:val="none" w:sz="0" w:space="0" w:color="auto"/>
      </w:divBdr>
    </w:div>
    <w:div w:id="604924393">
      <w:bodyDiv w:val="1"/>
      <w:marLeft w:val="0"/>
      <w:marRight w:val="0"/>
      <w:marTop w:val="0"/>
      <w:marBottom w:val="0"/>
      <w:divBdr>
        <w:top w:val="none" w:sz="0" w:space="0" w:color="auto"/>
        <w:left w:val="none" w:sz="0" w:space="0" w:color="auto"/>
        <w:bottom w:val="none" w:sz="0" w:space="0" w:color="auto"/>
        <w:right w:val="none" w:sz="0" w:space="0" w:color="auto"/>
      </w:divBdr>
    </w:div>
    <w:div w:id="645551138">
      <w:bodyDiv w:val="1"/>
      <w:marLeft w:val="0"/>
      <w:marRight w:val="0"/>
      <w:marTop w:val="0"/>
      <w:marBottom w:val="0"/>
      <w:divBdr>
        <w:top w:val="none" w:sz="0" w:space="0" w:color="auto"/>
        <w:left w:val="none" w:sz="0" w:space="0" w:color="auto"/>
        <w:bottom w:val="none" w:sz="0" w:space="0" w:color="auto"/>
        <w:right w:val="none" w:sz="0" w:space="0" w:color="auto"/>
      </w:divBdr>
    </w:div>
    <w:div w:id="651375485">
      <w:bodyDiv w:val="1"/>
      <w:marLeft w:val="0"/>
      <w:marRight w:val="0"/>
      <w:marTop w:val="0"/>
      <w:marBottom w:val="0"/>
      <w:divBdr>
        <w:top w:val="none" w:sz="0" w:space="0" w:color="auto"/>
        <w:left w:val="none" w:sz="0" w:space="0" w:color="auto"/>
        <w:bottom w:val="none" w:sz="0" w:space="0" w:color="auto"/>
        <w:right w:val="none" w:sz="0" w:space="0" w:color="auto"/>
      </w:divBdr>
    </w:div>
    <w:div w:id="656419943">
      <w:bodyDiv w:val="1"/>
      <w:marLeft w:val="0"/>
      <w:marRight w:val="0"/>
      <w:marTop w:val="0"/>
      <w:marBottom w:val="0"/>
      <w:divBdr>
        <w:top w:val="none" w:sz="0" w:space="0" w:color="auto"/>
        <w:left w:val="none" w:sz="0" w:space="0" w:color="auto"/>
        <w:bottom w:val="none" w:sz="0" w:space="0" w:color="auto"/>
        <w:right w:val="none" w:sz="0" w:space="0" w:color="auto"/>
      </w:divBdr>
    </w:div>
    <w:div w:id="670180366">
      <w:bodyDiv w:val="1"/>
      <w:marLeft w:val="0"/>
      <w:marRight w:val="0"/>
      <w:marTop w:val="0"/>
      <w:marBottom w:val="0"/>
      <w:divBdr>
        <w:top w:val="none" w:sz="0" w:space="0" w:color="auto"/>
        <w:left w:val="none" w:sz="0" w:space="0" w:color="auto"/>
        <w:bottom w:val="none" w:sz="0" w:space="0" w:color="auto"/>
        <w:right w:val="none" w:sz="0" w:space="0" w:color="auto"/>
      </w:divBdr>
    </w:div>
    <w:div w:id="688484527">
      <w:bodyDiv w:val="1"/>
      <w:marLeft w:val="0"/>
      <w:marRight w:val="0"/>
      <w:marTop w:val="0"/>
      <w:marBottom w:val="0"/>
      <w:divBdr>
        <w:top w:val="none" w:sz="0" w:space="0" w:color="auto"/>
        <w:left w:val="none" w:sz="0" w:space="0" w:color="auto"/>
        <w:bottom w:val="none" w:sz="0" w:space="0" w:color="auto"/>
        <w:right w:val="none" w:sz="0" w:space="0" w:color="auto"/>
      </w:divBdr>
    </w:div>
    <w:div w:id="688944815">
      <w:bodyDiv w:val="1"/>
      <w:marLeft w:val="0"/>
      <w:marRight w:val="0"/>
      <w:marTop w:val="0"/>
      <w:marBottom w:val="0"/>
      <w:divBdr>
        <w:top w:val="none" w:sz="0" w:space="0" w:color="auto"/>
        <w:left w:val="none" w:sz="0" w:space="0" w:color="auto"/>
        <w:bottom w:val="none" w:sz="0" w:space="0" w:color="auto"/>
        <w:right w:val="none" w:sz="0" w:space="0" w:color="auto"/>
      </w:divBdr>
      <w:divsChild>
        <w:div w:id="1816751598">
          <w:marLeft w:val="0"/>
          <w:marRight w:val="0"/>
          <w:marTop w:val="0"/>
          <w:marBottom w:val="0"/>
          <w:divBdr>
            <w:top w:val="none" w:sz="0" w:space="0" w:color="auto"/>
            <w:left w:val="none" w:sz="0" w:space="0" w:color="auto"/>
            <w:bottom w:val="none" w:sz="0" w:space="0" w:color="auto"/>
            <w:right w:val="none" w:sz="0" w:space="0" w:color="auto"/>
          </w:divBdr>
        </w:div>
        <w:div w:id="1573931262">
          <w:marLeft w:val="0"/>
          <w:marRight w:val="0"/>
          <w:marTop w:val="0"/>
          <w:marBottom w:val="0"/>
          <w:divBdr>
            <w:top w:val="none" w:sz="0" w:space="0" w:color="auto"/>
            <w:left w:val="none" w:sz="0" w:space="0" w:color="auto"/>
            <w:bottom w:val="none" w:sz="0" w:space="0" w:color="auto"/>
            <w:right w:val="none" w:sz="0" w:space="0" w:color="auto"/>
          </w:divBdr>
        </w:div>
        <w:div w:id="1388142039">
          <w:marLeft w:val="0"/>
          <w:marRight w:val="0"/>
          <w:marTop w:val="0"/>
          <w:marBottom w:val="0"/>
          <w:divBdr>
            <w:top w:val="none" w:sz="0" w:space="0" w:color="auto"/>
            <w:left w:val="none" w:sz="0" w:space="0" w:color="auto"/>
            <w:bottom w:val="none" w:sz="0" w:space="0" w:color="auto"/>
            <w:right w:val="none" w:sz="0" w:space="0" w:color="auto"/>
          </w:divBdr>
        </w:div>
        <w:div w:id="421993885">
          <w:marLeft w:val="0"/>
          <w:marRight w:val="0"/>
          <w:marTop w:val="0"/>
          <w:marBottom w:val="0"/>
          <w:divBdr>
            <w:top w:val="none" w:sz="0" w:space="0" w:color="auto"/>
            <w:left w:val="none" w:sz="0" w:space="0" w:color="auto"/>
            <w:bottom w:val="none" w:sz="0" w:space="0" w:color="auto"/>
            <w:right w:val="none" w:sz="0" w:space="0" w:color="auto"/>
          </w:divBdr>
        </w:div>
        <w:div w:id="604266909">
          <w:marLeft w:val="0"/>
          <w:marRight w:val="0"/>
          <w:marTop w:val="0"/>
          <w:marBottom w:val="0"/>
          <w:divBdr>
            <w:top w:val="none" w:sz="0" w:space="0" w:color="auto"/>
            <w:left w:val="none" w:sz="0" w:space="0" w:color="auto"/>
            <w:bottom w:val="none" w:sz="0" w:space="0" w:color="auto"/>
            <w:right w:val="none" w:sz="0" w:space="0" w:color="auto"/>
          </w:divBdr>
        </w:div>
        <w:div w:id="1698001563">
          <w:marLeft w:val="0"/>
          <w:marRight w:val="0"/>
          <w:marTop w:val="0"/>
          <w:marBottom w:val="0"/>
          <w:divBdr>
            <w:top w:val="none" w:sz="0" w:space="0" w:color="auto"/>
            <w:left w:val="none" w:sz="0" w:space="0" w:color="auto"/>
            <w:bottom w:val="none" w:sz="0" w:space="0" w:color="auto"/>
            <w:right w:val="none" w:sz="0" w:space="0" w:color="auto"/>
          </w:divBdr>
        </w:div>
        <w:div w:id="1034114821">
          <w:marLeft w:val="0"/>
          <w:marRight w:val="0"/>
          <w:marTop w:val="0"/>
          <w:marBottom w:val="0"/>
          <w:divBdr>
            <w:top w:val="none" w:sz="0" w:space="0" w:color="auto"/>
            <w:left w:val="none" w:sz="0" w:space="0" w:color="auto"/>
            <w:bottom w:val="none" w:sz="0" w:space="0" w:color="auto"/>
            <w:right w:val="none" w:sz="0" w:space="0" w:color="auto"/>
          </w:divBdr>
        </w:div>
        <w:div w:id="2108576111">
          <w:marLeft w:val="0"/>
          <w:marRight w:val="0"/>
          <w:marTop w:val="0"/>
          <w:marBottom w:val="0"/>
          <w:divBdr>
            <w:top w:val="none" w:sz="0" w:space="0" w:color="auto"/>
            <w:left w:val="none" w:sz="0" w:space="0" w:color="auto"/>
            <w:bottom w:val="none" w:sz="0" w:space="0" w:color="auto"/>
            <w:right w:val="none" w:sz="0" w:space="0" w:color="auto"/>
          </w:divBdr>
        </w:div>
        <w:div w:id="1116364824">
          <w:marLeft w:val="0"/>
          <w:marRight w:val="0"/>
          <w:marTop w:val="0"/>
          <w:marBottom w:val="0"/>
          <w:divBdr>
            <w:top w:val="none" w:sz="0" w:space="0" w:color="auto"/>
            <w:left w:val="none" w:sz="0" w:space="0" w:color="auto"/>
            <w:bottom w:val="none" w:sz="0" w:space="0" w:color="auto"/>
            <w:right w:val="none" w:sz="0" w:space="0" w:color="auto"/>
          </w:divBdr>
        </w:div>
      </w:divsChild>
    </w:div>
    <w:div w:id="709763876">
      <w:bodyDiv w:val="1"/>
      <w:marLeft w:val="0"/>
      <w:marRight w:val="0"/>
      <w:marTop w:val="0"/>
      <w:marBottom w:val="0"/>
      <w:divBdr>
        <w:top w:val="none" w:sz="0" w:space="0" w:color="auto"/>
        <w:left w:val="none" w:sz="0" w:space="0" w:color="auto"/>
        <w:bottom w:val="none" w:sz="0" w:space="0" w:color="auto"/>
        <w:right w:val="none" w:sz="0" w:space="0" w:color="auto"/>
      </w:divBdr>
    </w:div>
    <w:div w:id="725032379">
      <w:bodyDiv w:val="1"/>
      <w:marLeft w:val="0"/>
      <w:marRight w:val="0"/>
      <w:marTop w:val="0"/>
      <w:marBottom w:val="0"/>
      <w:divBdr>
        <w:top w:val="none" w:sz="0" w:space="0" w:color="auto"/>
        <w:left w:val="none" w:sz="0" w:space="0" w:color="auto"/>
        <w:bottom w:val="none" w:sz="0" w:space="0" w:color="auto"/>
        <w:right w:val="none" w:sz="0" w:space="0" w:color="auto"/>
      </w:divBdr>
    </w:div>
    <w:div w:id="731151113">
      <w:bodyDiv w:val="1"/>
      <w:marLeft w:val="0"/>
      <w:marRight w:val="0"/>
      <w:marTop w:val="0"/>
      <w:marBottom w:val="0"/>
      <w:divBdr>
        <w:top w:val="none" w:sz="0" w:space="0" w:color="auto"/>
        <w:left w:val="none" w:sz="0" w:space="0" w:color="auto"/>
        <w:bottom w:val="none" w:sz="0" w:space="0" w:color="auto"/>
        <w:right w:val="none" w:sz="0" w:space="0" w:color="auto"/>
      </w:divBdr>
    </w:div>
    <w:div w:id="751513107">
      <w:bodyDiv w:val="1"/>
      <w:marLeft w:val="0"/>
      <w:marRight w:val="0"/>
      <w:marTop w:val="0"/>
      <w:marBottom w:val="0"/>
      <w:divBdr>
        <w:top w:val="none" w:sz="0" w:space="0" w:color="auto"/>
        <w:left w:val="none" w:sz="0" w:space="0" w:color="auto"/>
        <w:bottom w:val="none" w:sz="0" w:space="0" w:color="auto"/>
        <w:right w:val="none" w:sz="0" w:space="0" w:color="auto"/>
      </w:divBdr>
    </w:div>
    <w:div w:id="755251831">
      <w:bodyDiv w:val="1"/>
      <w:marLeft w:val="0"/>
      <w:marRight w:val="0"/>
      <w:marTop w:val="0"/>
      <w:marBottom w:val="0"/>
      <w:divBdr>
        <w:top w:val="none" w:sz="0" w:space="0" w:color="auto"/>
        <w:left w:val="none" w:sz="0" w:space="0" w:color="auto"/>
        <w:bottom w:val="none" w:sz="0" w:space="0" w:color="auto"/>
        <w:right w:val="none" w:sz="0" w:space="0" w:color="auto"/>
      </w:divBdr>
    </w:div>
    <w:div w:id="766584608">
      <w:bodyDiv w:val="1"/>
      <w:marLeft w:val="0"/>
      <w:marRight w:val="0"/>
      <w:marTop w:val="0"/>
      <w:marBottom w:val="0"/>
      <w:divBdr>
        <w:top w:val="none" w:sz="0" w:space="0" w:color="auto"/>
        <w:left w:val="none" w:sz="0" w:space="0" w:color="auto"/>
        <w:bottom w:val="none" w:sz="0" w:space="0" w:color="auto"/>
        <w:right w:val="none" w:sz="0" w:space="0" w:color="auto"/>
      </w:divBdr>
    </w:div>
    <w:div w:id="774405957">
      <w:bodyDiv w:val="1"/>
      <w:marLeft w:val="0"/>
      <w:marRight w:val="0"/>
      <w:marTop w:val="0"/>
      <w:marBottom w:val="0"/>
      <w:divBdr>
        <w:top w:val="none" w:sz="0" w:space="0" w:color="auto"/>
        <w:left w:val="none" w:sz="0" w:space="0" w:color="auto"/>
        <w:bottom w:val="none" w:sz="0" w:space="0" w:color="auto"/>
        <w:right w:val="none" w:sz="0" w:space="0" w:color="auto"/>
      </w:divBdr>
    </w:div>
    <w:div w:id="774985736">
      <w:bodyDiv w:val="1"/>
      <w:marLeft w:val="0"/>
      <w:marRight w:val="0"/>
      <w:marTop w:val="0"/>
      <w:marBottom w:val="0"/>
      <w:divBdr>
        <w:top w:val="none" w:sz="0" w:space="0" w:color="auto"/>
        <w:left w:val="none" w:sz="0" w:space="0" w:color="auto"/>
        <w:bottom w:val="none" w:sz="0" w:space="0" w:color="auto"/>
        <w:right w:val="none" w:sz="0" w:space="0" w:color="auto"/>
      </w:divBdr>
    </w:div>
    <w:div w:id="814952237">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850654">
      <w:bodyDiv w:val="1"/>
      <w:marLeft w:val="0"/>
      <w:marRight w:val="0"/>
      <w:marTop w:val="0"/>
      <w:marBottom w:val="0"/>
      <w:divBdr>
        <w:top w:val="none" w:sz="0" w:space="0" w:color="auto"/>
        <w:left w:val="none" w:sz="0" w:space="0" w:color="auto"/>
        <w:bottom w:val="none" w:sz="0" w:space="0" w:color="auto"/>
        <w:right w:val="none" w:sz="0" w:space="0" w:color="auto"/>
      </w:divBdr>
    </w:div>
    <w:div w:id="861165013">
      <w:bodyDiv w:val="1"/>
      <w:marLeft w:val="0"/>
      <w:marRight w:val="0"/>
      <w:marTop w:val="0"/>
      <w:marBottom w:val="0"/>
      <w:divBdr>
        <w:top w:val="none" w:sz="0" w:space="0" w:color="auto"/>
        <w:left w:val="none" w:sz="0" w:space="0" w:color="auto"/>
        <w:bottom w:val="none" w:sz="0" w:space="0" w:color="auto"/>
        <w:right w:val="none" w:sz="0" w:space="0" w:color="auto"/>
      </w:divBdr>
    </w:div>
    <w:div w:id="874779408">
      <w:bodyDiv w:val="1"/>
      <w:marLeft w:val="0"/>
      <w:marRight w:val="0"/>
      <w:marTop w:val="0"/>
      <w:marBottom w:val="0"/>
      <w:divBdr>
        <w:top w:val="none" w:sz="0" w:space="0" w:color="auto"/>
        <w:left w:val="none" w:sz="0" w:space="0" w:color="auto"/>
        <w:bottom w:val="none" w:sz="0" w:space="0" w:color="auto"/>
        <w:right w:val="none" w:sz="0" w:space="0" w:color="auto"/>
      </w:divBdr>
    </w:div>
    <w:div w:id="886264058">
      <w:bodyDiv w:val="1"/>
      <w:marLeft w:val="0"/>
      <w:marRight w:val="0"/>
      <w:marTop w:val="0"/>
      <w:marBottom w:val="0"/>
      <w:divBdr>
        <w:top w:val="none" w:sz="0" w:space="0" w:color="auto"/>
        <w:left w:val="none" w:sz="0" w:space="0" w:color="auto"/>
        <w:bottom w:val="none" w:sz="0" w:space="0" w:color="auto"/>
        <w:right w:val="none" w:sz="0" w:space="0" w:color="auto"/>
      </w:divBdr>
    </w:div>
    <w:div w:id="901067313">
      <w:bodyDiv w:val="1"/>
      <w:marLeft w:val="0"/>
      <w:marRight w:val="0"/>
      <w:marTop w:val="0"/>
      <w:marBottom w:val="0"/>
      <w:divBdr>
        <w:top w:val="none" w:sz="0" w:space="0" w:color="auto"/>
        <w:left w:val="none" w:sz="0" w:space="0" w:color="auto"/>
        <w:bottom w:val="none" w:sz="0" w:space="0" w:color="auto"/>
        <w:right w:val="none" w:sz="0" w:space="0" w:color="auto"/>
      </w:divBdr>
    </w:div>
    <w:div w:id="917135977">
      <w:bodyDiv w:val="1"/>
      <w:marLeft w:val="0"/>
      <w:marRight w:val="0"/>
      <w:marTop w:val="0"/>
      <w:marBottom w:val="0"/>
      <w:divBdr>
        <w:top w:val="none" w:sz="0" w:space="0" w:color="auto"/>
        <w:left w:val="none" w:sz="0" w:space="0" w:color="auto"/>
        <w:bottom w:val="none" w:sz="0" w:space="0" w:color="auto"/>
        <w:right w:val="none" w:sz="0" w:space="0" w:color="auto"/>
      </w:divBdr>
    </w:div>
    <w:div w:id="937831139">
      <w:bodyDiv w:val="1"/>
      <w:marLeft w:val="0"/>
      <w:marRight w:val="0"/>
      <w:marTop w:val="0"/>
      <w:marBottom w:val="0"/>
      <w:divBdr>
        <w:top w:val="none" w:sz="0" w:space="0" w:color="auto"/>
        <w:left w:val="none" w:sz="0" w:space="0" w:color="auto"/>
        <w:bottom w:val="none" w:sz="0" w:space="0" w:color="auto"/>
        <w:right w:val="none" w:sz="0" w:space="0" w:color="auto"/>
      </w:divBdr>
    </w:div>
    <w:div w:id="950356437">
      <w:bodyDiv w:val="1"/>
      <w:marLeft w:val="0"/>
      <w:marRight w:val="0"/>
      <w:marTop w:val="0"/>
      <w:marBottom w:val="0"/>
      <w:divBdr>
        <w:top w:val="none" w:sz="0" w:space="0" w:color="auto"/>
        <w:left w:val="none" w:sz="0" w:space="0" w:color="auto"/>
        <w:bottom w:val="none" w:sz="0" w:space="0" w:color="auto"/>
        <w:right w:val="none" w:sz="0" w:space="0" w:color="auto"/>
      </w:divBdr>
    </w:div>
    <w:div w:id="961107102">
      <w:bodyDiv w:val="1"/>
      <w:marLeft w:val="0"/>
      <w:marRight w:val="0"/>
      <w:marTop w:val="0"/>
      <w:marBottom w:val="0"/>
      <w:divBdr>
        <w:top w:val="none" w:sz="0" w:space="0" w:color="auto"/>
        <w:left w:val="none" w:sz="0" w:space="0" w:color="auto"/>
        <w:bottom w:val="none" w:sz="0" w:space="0" w:color="auto"/>
        <w:right w:val="none" w:sz="0" w:space="0" w:color="auto"/>
      </w:divBdr>
    </w:div>
    <w:div w:id="972711014">
      <w:bodyDiv w:val="1"/>
      <w:marLeft w:val="0"/>
      <w:marRight w:val="0"/>
      <w:marTop w:val="0"/>
      <w:marBottom w:val="0"/>
      <w:divBdr>
        <w:top w:val="none" w:sz="0" w:space="0" w:color="auto"/>
        <w:left w:val="none" w:sz="0" w:space="0" w:color="auto"/>
        <w:bottom w:val="none" w:sz="0" w:space="0" w:color="auto"/>
        <w:right w:val="none" w:sz="0" w:space="0" w:color="auto"/>
      </w:divBdr>
    </w:div>
    <w:div w:id="984823668">
      <w:bodyDiv w:val="1"/>
      <w:marLeft w:val="0"/>
      <w:marRight w:val="0"/>
      <w:marTop w:val="0"/>
      <w:marBottom w:val="0"/>
      <w:divBdr>
        <w:top w:val="none" w:sz="0" w:space="0" w:color="auto"/>
        <w:left w:val="none" w:sz="0" w:space="0" w:color="auto"/>
        <w:bottom w:val="none" w:sz="0" w:space="0" w:color="auto"/>
        <w:right w:val="none" w:sz="0" w:space="0" w:color="auto"/>
      </w:divBdr>
    </w:div>
    <w:div w:id="990984974">
      <w:bodyDiv w:val="1"/>
      <w:marLeft w:val="0"/>
      <w:marRight w:val="0"/>
      <w:marTop w:val="0"/>
      <w:marBottom w:val="0"/>
      <w:divBdr>
        <w:top w:val="none" w:sz="0" w:space="0" w:color="auto"/>
        <w:left w:val="none" w:sz="0" w:space="0" w:color="auto"/>
        <w:bottom w:val="none" w:sz="0" w:space="0" w:color="auto"/>
        <w:right w:val="none" w:sz="0" w:space="0" w:color="auto"/>
      </w:divBdr>
    </w:div>
    <w:div w:id="1015156609">
      <w:bodyDiv w:val="1"/>
      <w:marLeft w:val="0"/>
      <w:marRight w:val="0"/>
      <w:marTop w:val="0"/>
      <w:marBottom w:val="0"/>
      <w:divBdr>
        <w:top w:val="none" w:sz="0" w:space="0" w:color="auto"/>
        <w:left w:val="none" w:sz="0" w:space="0" w:color="auto"/>
        <w:bottom w:val="none" w:sz="0" w:space="0" w:color="auto"/>
        <w:right w:val="none" w:sz="0" w:space="0" w:color="auto"/>
      </w:divBdr>
    </w:div>
    <w:div w:id="1018383727">
      <w:bodyDiv w:val="1"/>
      <w:marLeft w:val="0"/>
      <w:marRight w:val="0"/>
      <w:marTop w:val="0"/>
      <w:marBottom w:val="0"/>
      <w:divBdr>
        <w:top w:val="none" w:sz="0" w:space="0" w:color="auto"/>
        <w:left w:val="none" w:sz="0" w:space="0" w:color="auto"/>
        <w:bottom w:val="none" w:sz="0" w:space="0" w:color="auto"/>
        <w:right w:val="none" w:sz="0" w:space="0" w:color="auto"/>
      </w:divBdr>
    </w:div>
    <w:div w:id="1021976344">
      <w:bodyDiv w:val="1"/>
      <w:marLeft w:val="0"/>
      <w:marRight w:val="0"/>
      <w:marTop w:val="0"/>
      <w:marBottom w:val="0"/>
      <w:divBdr>
        <w:top w:val="none" w:sz="0" w:space="0" w:color="auto"/>
        <w:left w:val="none" w:sz="0" w:space="0" w:color="auto"/>
        <w:bottom w:val="none" w:sz="0" w:space="0" w:color="auto"/>
        <w:right w:val="none" w:sz="0" w:space="0" w:color="auto"/>
      </w:divBdr>
    </w:div>
    <w:div w:id="1031568719">
      <w:bodyDiv w:val="1"/>
      <w:marLeft w:val="0"/>
      <w:marRight w:val="0"/>
      <w:marTop w:val="0"/>
      <w:marBottom w:val="0"/>
      <w:divBdr>
        <w:top w:val="none" w:sz="0" w:space="0" w:color="auto"/>
        <w:left w:val="none" w:sz="0" w:space="0" w:color="auto"/>
        <w:bottom w:val="none" w:sz="0" w:space="0" w:color="auto"/>
        <w:right w:val="none" w:sz="0" w:space="0" w:color="auto"/>
      </w:divBdr>
    </w:div>
    <w:div w:id="1032267761">
      <w:bodyDiv w:val="1"/>
      <w:marLeft w:val="0"/>
      <w:marRight w:val="0"/>
      <w:marTop w:val="0"/>
      <w:marBottom w:val="0"/>
      <w:divBdr>
        <w:top w:val="none" w:sz="0" w:space="0" w:color="auto"/>
        <w:left w:val="none" w:sz="0" w:space="0" w:color="auto"/>
        <w:bottom w:val="none" w:sz="0" w:space="0" w:color="auto"/>
        <w:right w:val="none" w:sz="0" w:space="0" w:color="auto"/>
      </w:divBdr>
    </w:div>
    <w:div w:id="1065759375">
      <w:bodyDiv w:val="1"/>
      <w:marLeft w:val="0"/>
      <w:marRight w:val="0"/>
      <w:marTop w:val="0"/>
      <w:marBottom w:val="0"/>
      <w:divBdr>
        <w:top w:val="none" w:sz="0" w:space="0" w:color="auto"/>
        <w:left w:val="none" w:sz="0" w:space="0" w:color="auto"/>
        <w:bottom w:val="none" w:sz="0" w:space="0" w:color="auto"/>
        <w:right w:val="none" w:sz="0" w:space="0" w:color="auto"/>
      </w:divBdr>
    </w:div>
    <w:div w:id="1071200205">
      <w:bodyDiv w:val="1"/>
      <w:marLeft w:val="0"/>
      <w:marRight w:val="0"/>
      <w:marTop w:val="0"/>
      <w:marBottom w:val="0"/>
      <w:divBdr>
        <w:top w:val="none" w:sz="0" w:space="0" w:color="auto"/>
        <w:left w:val="none" w:sz="0" w:space="0" w:color="auto"/>
        <w:bottom w:val="none" w:sz="0" w:space="0" w:color="auto"/>
        <w:right w:val="none" w:sz="0" w:space="0" w:color="auto"/>
      </w:divBdr>
    </w:div>
    <w:div w:id="1088431044">
      <w:bodyDiv w:val="1"/>
      <w:marLeft w:val="0"/>
      <w:marRight w:val="0"/>
      <w:marTop w:val="0"/>
      <w:marBottom w:val="0"/>
      <w:divBdr>
        <w:top w:val="none" w:sz="0" w:space="0" w:color="auto"/>
        <w:left w:val="none" w:sz="0" w:space="0" w:color="auto"/>
        <w:bottom w:val="none" w:sz="0" w:space="0" w:color="auto"/>
        <w:right w:val="none" w:sz="0" w:space="0" w:color="auto"/>
      </w:divBdr>
    </w:div>
    <w:div w:id="1089546011">
      <w:bodyDiv w:val="1"/>
      <w:marLeft w:val="0"/>
      <w:marRight w:val="0"/>
      <w:marTop w:val="0"/>
      <w:marBottom w:val="0"/>
      <w:divBdr>
        <w:top w:val="none" w:sz="0" w:space="0" w:color="auto"/>
        <w:left w:val="none" w:sz="0" w:space="0" w:color="auto"/>
        <w:bottom w:val="none" w:sz="0" w:space="0" w:color="auto"/>
        <w:right w:val="none" w:sz="0" w:space="0" w:color="auto"/>
      </w:divBdr>
    </w:div>
    <w:div w:id="1113019034">
      <w:bodyDiv w:val="1"/>
      <w:marLeft w:val="0"/>
      <w:marRight w:val="0"/>
      <w:marTop w:val="0"/>
      <w:marBottom w:val="0"/>
      <w:divBdr>
        <w:top w:val="none" w:sz="0" w:space="0" w:color="auto"/>
        <w:left w:val="none" w:sz="0" w:space="0" w:color="auto"/>
        <w:bottom w:val="none" w:sz="0" w:space="0" w:color="auto"/>
        <w:right w:val="none" w:sz="0" w:space="0" w:color="auto"/>
      </w:divBdr>
    </w:div>
    <w:div w:id="1114637978">
      <w:bodyDiv w:val="1"/>
      <w:marLeft w:val="0"/>
      <w:marRight w:val="0"/>
      <w:marTop w:val="0"/>
      <w:marBottom w:val="0"/>
      <w:divBdr>
        <w:top w:val="none" w:sz="0" w:space="0" w:color="auto"/>
        <w:left w:val="none" w:sz="0" w:space="0" w:color="auto"/>
        <w:bottom w:val="none" w:sz="0" w:space="0" w:color="auto"/>
        <w:right w:val="none" w:sz="0" w:space="0" w:color="auto"/>
      </w:divBdr>
    </w:div>
    <w:div w:id="1146052108">
      <w:bodyDiv w:val="1"/>
      <w:marLeft w:val="0"/>
      <w:marRight w:val="0"/>
      <w:marTop w:val="0"/>
      <w:marBottom w:val="0"/>
      <w:divBdr>
        <w:top w:val="none" w:sz="0" w:space="0" w:color="auto"/>
        <w:left w:val="none" w:sz="0" w:space="0" w:color="auto"/>
        <w:bottom w:val="none" w:sz="0" w:space="0" w:color="auto"/>
        <w:right w:val="none" w:sz="0" w:space="0" w:color="auto"/>
      </w:divBdr>
    </w:div>
    <w:div w:id="1146823871">
      <w:bodyDiv w:val="1"/>
      <w:marLeft w:val="0"/>
      <w:marRight w:val="0"/>
      <w:marTop w:val="0"/>
      <w:marBottom w:val="0"/>
      <w:divBdr>
        <w:top w:val="none" w:sz="0" w:space="0" w:color="auto"/>
        <w:left w:val="none" w:sz="0" w:space="0" w:color="auto"/>
        <w:bottom w:val="none" w:sz="0" w:space="0" w:color="auto"/>
        <w:right w:val="none" w:sz="0" w:space="0" w:color="auto"/>
      </w:divBdr>
    </w:div>
    <w:div w:id="1150437292">
      <w:bodyDiv w:val="1"/>
      <w:marLeft w:val="0"/>
      <w:marRight w:val="0"/>
      <w:marTop w:val="0"/>
      <w:marBottom w:val="0"/>
      <w:divBdr>
        <w:top w:val="none" w:sz="0" w:space="0" w:color="auto"/>
        <w:left w:val="none" w:sz="0" w:space="0" w:color="auto"/>
        <w:bottom w:val="none" w:sz="0" w:space="0" w:color="auto"/>
        <w:right w:val="none" w:sz="0" w:space="0" w:color="auto"/>
      </w:divBdr>
    </w:div>
    <w:div w:id="1156339185">
      <w:bodyDiv w:val="1"/>
      <w:marLeft w:val="0"/>
      <w:marRight w:val="0"/>
      <w:marTop w:val="0"/>
      <w:marBottom w:val="0"/>
      <w:divBdr>
        <w:top w:val="none" w:sz="0" w:space="0" w:color="auto"/>
        <w:left w:val="none" w:sz="0" w:space="0" w:color="auto"/>
        <w:bottom w:val="none" w:sz="0" w:space="0" w:color="auto"/>
        <w:right w:val="none" w:sz="0" w:space="0" w:color="auto"/>
      </w:divBdr>
    </w:div>
    <w:div w:id="1164970847">
      <w:bodyDiv w:val="1"/>
      <w:marLeft w:val="0"/>
      <w:marRight w:val="0"/>
      <w:marTop w:val="0"/>
      <w:marBottom w:val="0"/>
      <w:divBdr>
        <w:top w:val="none" w:sz="0" w:space="0" w:color="auto"/>
        <w:left w:val="none" w:sz="0" w:space="0" w:color="auto"/>
        <w:bottom w:val="none" w:sz="0" w:space="0" w:color="auto"/>
        <w:right w:val="none" w:sz="0" w:space="0" w:color="auto"/>
      </w:divBdr>
    </w:div>
    <w:div w:id="1212156030">
      <w:bodyDiv w:val="1"/>
      <w:marLeft w:val="0"/>
      <w:marRight w:val="0"/>
      <w:marTop w:val="0"/>
      <w:marBottom w:val="0"/>
      <w:divBdr>
        <w:top w:val="none" w:sz="0" w:space="0" w:color="auto"/>
        <w:left w:val="none" w:sz="0" w:space="0" w:color="auto"/>
        <w:bottom w:val="none" w:sz="0" w:space="0" w:color="auto"/>
        <w:right w:val="none" w:sz="0" w:space="0" w:color="auto"/>
      </w:divBdr>
    </w:div>
    <w:div w:id="1213038019">
      <w:bodyDiv w:val="1"/>
      <w:marLeft w:val="0"/>
      <w:marRight w:val="0"/>
      <w:marTop w:val="0"/>
      <w:marBottom w:val="0"/>
      <w:divBdr>
        <w:top w:val="none" w:sz="0" w:space="0" w:color="auto"/>
        <w:left w:val="none" w:sz="0" w:space="0" w:color="auto"/>
        <w:bottom w:val="none" w:sz="0" w:space="0" w:color="auto"/>
        <w:right w:val="none" w:sz="0" w:space="0" w:color="auto"/>
      </w:divBdr>
      <w:divsChild>
        <w:div w:id="8260761">
          <w:marLeft w:val="0"/>
          <w:marRight w:val="0"/>
          <w:marTop w:val="0"/>
          <w:marBottom w:val="0"/>
          <w:divBdr>
            <w:top w:val="none" w:sz="0" w:space="0" w:color="auto"/>
            <w:left w:val="none" w:sz="0" w:space="0" w:color="auto"/>
            <w:bottom w:val="none" w:sz="0" w:space="0" w:color="auto"/>
            <w:right w:val="none" w:sz="0" w:space="0" w:color="auto"/>
          </w:divBdr>
        </w:div>
        <w:div w:id="1551576023">
          <w:marLeft w:val="0"/>
          <w:marRight w:val="0"/>
          <w:marTop w:val="0"/>
          <w:marBottom w:val="0"/>
          <w:divBdr>
            <w:top w:val="none" w:sz="0" w:space="0" w:color="auto"/>
            <w:left w:val="none" w:sz="0" w:space="0" w:color="auto"/>
            <w:bottom w:val="none" w:sz="0" w:space="0" w:color="auto"/>
            <w:right w:val="none" w:sz="0" w:space="0" w:color="auto"/>
          </w:divBdr>
        </w:div>
        <w:div w:id="1915695911">
          <w:marLeft w:val="0"/>
          <w:marRight w:val="0"/>
          <w:marTop w:val="0"/>
          <w:marBottom w:val="0"/>
          <w:divBdr>
            <w:top w:val="none" w:sz="0" w:space="0" w:color="auto"/>
            <w:left w:val="none" w:sz="0" w:space="0" w:color="auto"/>
            <w:bottom w:val="none" w:sz="0" w:space="0" w:color="auto"/>
            <w:right w:val="none" w:sz="0" w:space="0" w:color="auto"/>
          </w:divBdr>
        </w:div>
        <w:div w:id="1941057918">
          <w:marLeft w:val="0"/>
          <w:marRight w:val="0"/>
          <w:marTop w:val="0"/>
          <w:marBottom w:val="0"/>
          <w:divBdr>
            <w:top w:val="none" w:sz="0" w:space="0" w:color="auto"/>
            <w:left w:val="none" w:sz="0" w:space="0" w:color="auto"/>
            <w:bottom w:val="none" w:sz="0" w:space="0" w:color="auto"/>
            <w:right w:val="none" w:sz="0" w:space="0" w:color="auto"/>
          </w:divBdr>
        </w:div>
      </w:divsChild>
    </w:div>
    <w:div w:id="1221745584">
      <w:bodyDiv w:val="1"/>
      <w:marLeft w:val="0"/>
      <w:marRight w:val="0"/>
      <w:marTop w:val="0"/>
      <w:marBottom w:val="0"/>
      <w:divBdr>
        <w:top w:val="none" w:sz="0" w:space="0" w:color="auto"/>
        <w:left w:val="none" w:sz="0" w:space="0" w:color="auto"/>
        <w:bottom w:val="none" w:sz="0" w:space="0" w:color="auto"/>
        <w:right w:val="none" w:sz="0" w:space="0" w:color="auto"/>
      </w:divBdr>
    </w:div>
    <w:div w:id="1222714715">
      <w:bodyDiv w:val="1"/>
      <w:marLeft w:val="0"/>
      <w:marRight w:val="0"/>
      <w:marTop w:val="0"/>
      <w:marBottom w:val="0"/>
      <w:divBdr>
        <w:top w:val="none" w:sz="0" w:space="0" w:color="auto"/>
        <w:left w:val="none" w:sz="0" w:space="0" w:color="auto"/>
        <w:bottom w:val="none" w:sz="0" w:space="0" w:color="auto"/>
        <w:right w:val="none" w:sz="0" w:space="0" w:color="auto"/>
      </w:divBdr>
    </w:div>
    <w:div w:id="1263762081">
      <w:bodyDiv w:val="1"/>
      <w:marLeft w:val="0"/>
      <w:marRight w:val="0"/>
      <w:marTop w:val="0"/>
      <w:marBottom w:val="0"/>
      <w:divBdr>
        <w:top w:val="none" w:sz="0" w:space="0" w:color="auto"/>
        <w:left w:val="none" w:sz="0" w:space="0" w:color="auto"/>
        <w:bottom w:val="none" w:sz="0" w:space="0" w:color="auto"/>
        <w:right w:val="none" w:sz="0" w:space="0" w:color="auto"/>
      </w:divBdr>
    </w:div>
    <w:div w:id="1264075425">
      <w:bodyDiv w:val="1"/>
      <w:marLeft w:val="0"/>
      <w:marRight w:val="0"/>
      <w:marTop w:val="0"/>
      <w:marBottom w:val="0"/>
      <w:divBdr>
        <w:top w:val="none" w:sz="0" w:space="0" w:color="auto"/>
        <w:left w:val="none" w:sz="0" w:space="0" w:color="auto"/>
        <w:bottom w:val="none" w:sz="0" w:space="0" w:color="auto"/>
        <w:right w:val="none" w:sz="0" w:space="0" w:color="auto"/>
      </w:divBdr>
    </w:div>
    <w:div w:id="1269853055">
      <w:bodyDiv w:val="1"/>
      <w:marLeft w:val="0"/>
      <w:marRight w:val="0"/>
      <w:marTop w:val="0"/>
      <w:marBottom w:val="0"/>
      <w:divBdr>
        <w:top w:val="none" w:sz="0" w:space="0" w:color="auto"/>
        <w:left w:val="none" w:sz="0" w:space="0" w:color="auto"/>
        <w:bottom w:val="none" w:sz="0" w:space="0" w:color="auto"/>
        <w:right w:val="none" w:sz="0" w:space="0" w:color="auto"/>
      </w:divBdr>
    </w:div>
    <w:div w:id="1275140659">
      <w:bodyDiv w:val="1"/>
      <w:marLeft w:val="0"/>
      <w:marRight w:val="0"/>
      <w:marTop w:val="0"/>
      <w:marBottom w:val="0"/>
      <w:divBdr>
        <w:top w:val="none" w:sz="0" w:space="0" w:color="auto"/>
        <w:left w:val="none" w:sz="0" w:space="0" w:color="auto"/>
        <w:bottom w:val="none" w:sz="0" w:space="0" w:color="auto"/>
        <w:right w:val="none" w:sz="0" w:space="0" w:color="auto"/>
      </w:divBdr>
    </w:div>
    <w:div w:id="1285573267">
      <w:bodyDiv w:val="1"/>
      <w:marLeft w:val="0"/>
      <w:marRight w:val="0"/>
      <w:marTop w:val="0"/>
      <w:marBottom w:val="0"/>
      <w:divBdr>
        <w:top w:val="none" w:sz="0" w:space="0" w:color="auto"/>
        <w:left w:val="none" w:sz="0" w:space="0" w:color="auto"/>
        <w:bottom w:val="none" w:sz="0" w:space="0" w:color="auto"/>
        <w:right w:val="none" w:sz="0" w:space="0" w:color="auto"/>
      </w:divBdr>
    </w:div>
    <w:div w:id="1289162358">
      <w:bodyDiv w:val="1"/>
      <w:marLeft w:val="0"/>
      <w:marRight w:val="0"/>
      <w:marTop w:val="0"/>
      <w:marBottom w:val="0"/>
      <w:divBdr>
        <w:top w:val="none" w:sz="0" w:space="0" w:color="auto"/>
        <w:left w:val="none" w:sz="0" w:space="0" w:color="auto"/>
        <w:bottom w:val="none" w:sz="0" w:space="0" w:color="auto"/>
        <w:right w:val="none" w:sz="0" w:space="0" w:color="auto"/>
      </w:divBdr>
    </w:div>
    <w:div w:id="1312369262">
      <w:bodyDiv w:val="1"/>
      <w:marLeft w:val="0"/>
      <w:marRight w:val="0"/>
      <w:marTop w:val="0"/>
      <w:marBottom w:val="0"/>
      <w:divBdr>
        <w:top w:val="none" w:sz="0" w:space="0" w:color="auto"/>
        <w:left w:val="none" w:sz="0" w:space="0" w:color="auto"/>
        <w:bottom w:val="none" w:sz="0" w:space="0" w:color="auto"/>
        <w:right w:val="none" w:sz="0" w:space="0" w:color="auto"/>
      </w:divBdr>
    </w:div>
    <w:div w:id="1333145252">
      <w:bodyDiv w:val="1"/>
      <w:marLeft w:val="0"/>
      <w:marRight w:val="0"/>
      <w:marTop w:val="0"/>
      <w:marBottom w:val="0"/>
      <w:divBdr>
        <w:top w:val="none" w:sz="0" w:space="0" w:color="auto"/>
        <w:left w:val="none" w:sz="0" w:space="0" w:color="auto"/>
        <w:bottom w:val="none" w:sz="0" w:space="0" w:color="auto"/>
        <w:right w:val="none" w:sz="0" w:space="0" w:color="auto"/>
      </w:divBdr>
    </w:div>
    <w:div w:id="1339578357">
      <w:bodyDiv w:val="1"/>
      <w:marLeft w:val="0"/>
      <w:marRight w:val="0"/>
      <w:marTop w:val="0"/>
      <w:marBottom w:val="0"/>
      <w:divBdr>
        <w:top w:val="none" w:sz="0" w:space="0" w:color="auto"/>
        <w:left w:val="none" w:sz="0" w:space="0" w:color="auto"/>
        <w:bottom w:val="none" w:sz="0" w:space="0" w:color="auto"/>
        <w:right w:val="none" w:sz="0" w:space="0" w:color="auto"/>
      </w:divBdr>
    </w:div>
    <w:div w:id="1348752490">
      <w:bodyDiv w:val="1"/>
      <w:marLeft w:val="0"/>
      <w:marRight w:val="0"/>
      <w:marTop w:val="0"/>
      <w:marBottom w:val="0"/>
      <w:divBdr>
        <w:top w:val="none" w:sz="0" w:space="0" w:color="auto"/>
        <w:left w:val="none" w:sz="0" w:space="0" w:color="auto"/>
        <w:bottom w:val="none" w:sz="0" w:space="0" w:color="auto"/>
        <w:right w:val="none" w:sz="0" w:space="0" w:color="auto"/>
      </w:divBdr>
    </w:div>
    <w:div w:id="1362391127">
      <w:bodyDiv w:val="1"/>
      <w:marLeft w:val="0"/>
      <w:marRight w:val="0"/>
      <w:marTop w:val="0"/>
      <w:marBottom w:val="0"/>
      <w:divBdr>
        <w:top w:val="none" w:sz="0" w:space="0" w:color="auto"/>
        <w:left w:val="none" w:sz="0" w:space="0" w:color="auto"/>
        <w:bottom w:val="none" w:sz="0" w:space="0" w:color="auto"/>
        <w:right w:val="none" w:sz="0" w:space="0" w:color="auto"/>
      </w:divBdr>
    </w:div>
    <w:div w:id="1388800673">
      <w:bodyDiv w:val="1"/>
      <w:marLeft w:val="0"/>
      <w:marRight w:val="0"/>
      <w:marTop w:val="0"/>
      <w:marBottom w:val="0"/>
      <w:divBdr>
        <w:top w:val="none" w:sz="0" w:space="0" w:color="auto"/>
        <w:left w:val="none" w:sz="0" w:space="0" w:color="auto"/>
        <w:bottom w:val="none" w:sz="0" w:space="0" w:color="auto"/>
        <w:right w:val="none" w:sz="0" w:space="0" w:color="auto"/>
      </w:divBdr>
    </w:div>
    <w:div w:id="1392582651">
      <w:bodyDiv w:val="1"/>
      <w:marLeft w:val="0"/>
      <w:marRight w:val="0"/>
      <w:marTop w:val="0"/>
      <w:marBottom w:val="0"/>
      <w:divBdr>
        <w:top w:val="none" w:sz="0" w:space="0" w:color="auto"/>
        <w:left w:val="none" w:sz="0" w:space="0" w:color="auto"/>
        <w:bottom w:val="none" w:sz="0" w:space="0" w:color="auto"/>
        <w:right w:val="none" w:sz="0" w:space="0" w:color="auto"/>
      </w:divBdr>
    </w:div>
    <w:div w:id="1411850677">
      <w:bodyDiv w:val="1"/>
      <w:marLeft w:val="0"/>
      <w:marRight w:val="0"/>
      <w:marTop w:val="0"/>
      <w:marBottom w:val="0"/>
      <w:divBdr>
        <w:top w:val="none" w:sz="0" w:space="0" w:color="auto"/>
        <w:left w:val="none" w:sz="0" w:space="0" w:color="auto"/>
        <w:bottom w:val="none" w:sz="0" w:space="0" w:color="auto"/>
        <w:right w:val="none" w:sz="0" w:space="0" w:color="auto"/>
      </w:divBdr>
      <w:divsChild>
        <w:div w:id="1760172408">
          <w:marLeft w:val="0"/>
          <w:marRight w:val="0"/>
          <w:marTop w:val="0"/>
          <w:marBottom w:val="0"/>
          <w:divBdr>
            <w:top w:val="none" w:sz="0" w:space="0" w:color="auto"/>
            <w:left w:val="none" w:sz="0" w:space="0" w:color="auto"/>
            <w:bottom w:val="none" w:sz="0" w:space="0" w:color="auto"/>
            <w:right w:val="none" w:sz="0" w:space="0" w:color="auto"/>
          </w:divBdr>
        </w:div>
        <w:div w:id="770471022">
          <w:marLeft w:val="0"/>
          <w:marRight w:val="0"/>
          <w:marTop w:val="0"/>
          <w:marBottom w:val="0"/>
          <w:divBdr>
            <w:top w:val="none" w:sz="0" w:space="0" w:color="auto"/>
            <w:left w:val="none" w:sz="0" w:space="0" w:color="auto"/>
            <w:bottom w:val="none" w:sz="0" w:space="0" w:color="auto"/>
            <w:right w:val="none" w:sz="0" w:space="0" w:color="auto"/>
          </w:divBdr>
        </w:div>
        <w:div w:id="1423650276">
          <w:marLeft w:val="0"/>
          <w:marRight w:val="0"/>
          <w:marTop w:val="0"/>
          <w:marBottom w:val="0"/>
          <w:divBdr>
            <w:top w:val="none" w:sz="0" w:space="0" w:color="auto"/>
            <w:left w:val="none" w:sz="0" w:space="0" w:color="auto"/>
            <w:bottom w:val="none" w:sz="0" w:space="0" w:color="auto"/>
            <w:right w:val="none" w:sz="0" w:space="0" w:color="auto"/>
          </w:divBdr>
        </w:div>
        <w:div w:id="708728092">
          <w:marLeft w:val="0"/>
          <w:marRight w:val="0"/>
          <w:marTop w:val="0"/>
          <w:marBottom w:val="0"/>
          <w:divBdr>
            <w:top w:val="none" w:sz="0" w:space="0" w:color="auto"/>
            <w:left w:val="none" w:sz="0" w:space="0" w:color="auto"/>
            <w:bottom w:val="none" w:sz="0" w:space="0" w:color="auto"/>
            <w:right w:val="none" w:sz="0" w:space="0" w:color="auto"/>
          </w:divBdr>
        </w:div>
        <w:div w:id="626736112">
          <w:marLeft w:val="0"/>
          <w:marRight w:val="0"/>
          <w:marTop w:val="0"/>
          <w:marBottom w:val="0"/>
          <w:divBdr>
            <w:top w:val="none" w:sz="0" w:space="0" w:color="auto"/>
            <w:left w:val="none" w:sz="0" w:space="0" w:color="auto"/>
            <w:bottom w:val="none" w:sz="0" w:space="0" w:color="auto"/>
            <w:right w:val="none" w:sz="0" w:space="0" w:color="auto"/>
          </w:divBdr>
        </w:div>
        <w:div w:id="2116751199">
          <w:marLeft w:val="0"/>
          <w:marRight w:val="0"/>
          <w:marTop w:val="0"/>
          <w:marBottom w:val="0"/>
          <w:divBdr>
            <w:top w:val="none" w:sz="0" w:space="0" w:color="auto"/>
            <w:left w:val="none" w:sz="0" w:space="0" w:color="auto"/>
            <w:bottom w:val="none" w:sz="0" w:space="0" w:color="auto"/>
            <w:right w:val="none" w:sz="0" w:space="0" w:color="auto"/>
          </w:divBdr>
        </w:div>
        <w:div w:id="697045557">
          <w:marLeft w:val="0"/>
          <w:marRight w:val="0"/>
          <w:marTop w:val="0"/>
          <w:marBottom w:val="0"/>
          <w:divBdr>
            <w:top w:val="none" w:sz="0" w:space="0" w:color="auto"/>
            <w:left w:val="none" w:sz="0" w:space="0" w:color="auto"/>
            <w:bottom w:val="none" w:sz="0" w:space="0" w:color="auto"/>
            <w:right w:val="none" w:sz="0" w:space="0" w:color="auto"/>
          </w:divBdr>
        </w:div>
        <w:div w:id="327293723">
          <w:marLeft w:val="0"/>
          <w:marRight w:val="0"/>
          <w:marTop w:val="0"/>
          <w:marBottom w:val="0"/>
          <w:divBdr>
            <w:top w:val="none" w:sz="0" w:space="0" w:color="auto"/>
            <w:left w:val="none" w:sz="0" w:space="0" w:color="auto"/>
            <w:bottom w:val="none" w:sz="0" w:space="0" w:color="auto"/>
            <w:right w:val="none" w:sz="0" w:space="0" w:color="auto"/>
          </w:divBdr>
        </w:div>
        <w:div w:id="2031027446">
          <w:marLeft w:val="0"/>
          <w:marRight w:val="0"/>
          <w:marTop w:val="0"/>
          <w:marBottom w:val="0"/>
          <w:divBdr>
            <w:top w:val="none" w:sz="0" w:space="0" w:color="auto"/>
            <w:left w:val="none" w:sz="0" w:space="0" w:color="auto"/>
            <w:bottom w:val="none" w:sz="0" w:space="0" w:color="auto"/>
            <w:right w:val="none" w:sz="0" w:space="0" w:color="auto"/>
          </w:divBdr>
        </w:div>
      </w:divsChild>
    </w:div>
    <w:div w:id="1421563127">
      <w:bodyDiv w:val="1"/>
      <w:marLeft w:val="0"/>
      <w:marRight w:val="0"/>
      <w:marTop w:val="0"/>
      <w:marBottom w:val="0"/>
      <w:divBdr>
        <w:top w:val="none" w:sz="0" w:space="0" w:color="auto"/>
        <w:left w:val="none" w:sz="0" w:space="0" w:color="auto"/>
        <w:bottom w:val="none" w:sz="0" w:space="0" w:color="auto"/>
        <w:right w:val="none" w:sz="0" w:space="0" w:color="auto"/>
      </w:divBdr>
    </w:div>
    <w:div w:id="1422335979">
      <w:bodyDiv w:val="1"/>
      <w:marLeft w:val="0"/>
      <w:marRight w:val="0"/>
      <w:marTop w:val="0"/>
      <w:marBottom w:val="0"/>
      <w:divBdr>
        <w:top w:val="none" w:sz="0" w:space="0" w:color="auto"/>
        <w:left w:val="none" w:sz="0" w:space="0" w:color="auto"/>
        <w:bottom w:val="none" w:sz="0" w:space="0" w:color="auto"/>
        <w:right w:val="none" w:sz="0" w:space="0" w:color="auto"/>
      </w:divBdr>
    </w:div>
    <w:div w:id="1439521053">
      <w:bodyDiv w:val="1"/>
      <w:marLeft w:val="0"/>
      <w:marRight w:val="0"/>
      <w:marTop w:val="0"/>
      <w:marBottom w:val="0"/>
      <w:divBdr>
        <w:top w:val="none" w:sz="0" w:space="0" w:color="auto"/>
        <w:left w:val="none" w:sz="0" w:space="0" w:color="auto"/>
        <w:bottom w:val="none" w:sz="0" w:space="0" w:color="auto"/>
        <w:right w:val="none" w:sz="0" w:space="0" w:color="auto"/>
      </w:divBdr>
    </w:div>
    <w:div w:id="1447773605">
      <w:bodyDiv w:val="1"/>
      <w:marLeft w:val="0"/>
      <w:marRight w:val="0"/>
      <w:marTop w:val="0"/>
      <w:marBottom w:val="0"/>
      <w:divBdr>
        <w:top w:val="none" w:sz="0" w:space="0" w:color="auto"/>
        <w:left w:val="none" w:sz="0" w:space="0" w:color="auto"/>
        <w:bottom w:val="none" w:sz="0" w:space="0" w:color="auto"/>
        <w:right w:val="none" w:sz="0" w:space="0" w:color="auto"/>
      </w:divBdr>
    </w:div>
    <w:div w:id="1454902502">
      <w:bodyDiv w:val="1"/>
      <w:marLeft w:val="0"/>
      <w:marRight w:val="0"/>
      <w:marTop w:val="0"/>
      <w:marBottom w:val="0"/>
      <w:divBdr>
        <w:top w:val="none" w:sz="0" w:space="0" w:color="auto"/>
        <w:left w:val="none" w:sz="0" w:space="0" w:color="auto"/>
        <w:bottom w:val="none" w:sz="0" w:space="0" w:color="auto"/>
        <w:right w:val="none" w:sz="0" w:space="0" w:color="auto"/>
      </w:divBdr>
    </w:div>
    <w:div w:id="1472215094">
      <w:bodyDiv w:val="1"/>
      <w:marLeft w:val="0"/>
      <w:marRight w:val="0"/>
      <w:marTop w:val="0"/>
      <w:marBottom w:val="0"/>
      <w:divBdr>
        <w:top w:val="none" w:sz="0" w:space="0" w:color="auto"/>
        <w:left w:val="none" w:sz="0" w:space="0" w:color="auto"/>
        <w:bottom w:val="none" w:sz="0" w:space="0" w:color="auto"/>
        <w:right w:val="none" w:sz="0" w:space="0" w:color="auto"/>
      </w:divBdr>
    </w:div>
    <w:div w:id="1481842685">
      <w:bodyDiv w:val="1"/>
      <w:marLeft w:val="0"/>
      <w:marRight w:val="0"/>
      <w:marTop w:val="0"/>
      <w:marBottom w:val="0"/>
      <w:divBdr>
        <w:top w:val="none" w:sz="0" w:space="0" w:color="auto"/>
        <w:left w:val="none" w:sz="0" w:space="0" w:color="auto"/>
        <w:bottom w:val="none" w:sz="0" w:space="0" w:color="auto"/>
        <w:right w:val="none" w:sz="0" w:space="0" w:color="auto"/>
      </w:divBdr>
    </w:div>
    <w:div w:id="1513455507">
      <w:bodyDiv w:val="1"/>
      <w:marLeft w:val="0"/>
      <w:marRight w:val="0"/>
      <w:marTop w:val="0"/>
      <w:marBottom w:val="0"/>
      <w:divBdr>
        <w:top w:val="none" w:sz="0" w:space="0" w:color="auto"/>
        <w:left w:val="none" w:sz="0" w:space="0" w:color="auto"/>
        <w:bottom w:val="none" w:sz="0" w:space="0" w:color="auto"/>
        <w:right w:val="none" w:sz="0" w:space="0" w:color="auto"/>
      </w:divBdr>
    </w:div>
    <w:div w:id="1520195701">
      <w:bodyDiv w:val="1"/>
      <w:marLeft w:val="0"/>
      <w:marRight w:val="0"/>
      <w:marTop w:val="0"/>
      <w:marBottom w:val="0"/>
      <w:divBdr>
        <w:top w:val="none" w:sz="0" w:space="0" w:color="auto"/>
        <w:left w:val="none" w:sz="0" w:space="0" w:color="auto"/>
        <w:bottom w:val="none" w:sz="0" w:space="0" w:color="auto"/>
        <w:right w:val="none" w:sz="0" w:space="0" w:color="auto"/>
      </w:divBdr>
    </w:div>
    <w:div w:id="1529373553">
      <w:bodyDiv w:val="1"/>
      <w:marLeft w:val="0"/>
      <w:marRight w:val="0"/>
      <w:marTop w:val="0"/>
      <w:marBottom w:val="0"/>
      <w:divBdr>
        <w:top w:val="none" w:sz="0" w:space="0" w:color="auto"/>
        <w:left w:val="none" w:sz="0" w:space="0" w:color="auto"/>
        <w:bottom w:val="none" w:sz="0" w:space="0" w:color="auto"/>
        <w:right w:val="none" w:sz="0" w:space="0" w:color="auto"/>
      </w:divBdr>
    </w:div>
    <w:div w:id="1531869379">
      <w:bodyDiv w:val="1"/>
      <w:marLeft w:val="0"/>
      <w:marRight w:val="0"/>
      <w:marTop w:val="0"/>
      <w:marBottom w:val="0"/>
      <w:divBdr>
        <w:top w:val="none" w:sz="0" w:space="0" w:color="auto"/>
        <w:left w:val="none" w:sz="0" w:space="0" w:color="auto"/>
        <w:bottom w:val="none" w:sz="0" w:space="0" w:color="auto"/>
        <w:right w:val="none" w:sz="0" w:space="0" w:color="auto"/>
      </w:divBdr>
    </w:div>
    <w:div w:id="1546021546">
      <w:bodyDiv w:val="1"/>
      <w:marLeft w:val="0"/>
      <w:marRight w:val="0"/>
      <w:marTop w:val="0"/>
      <w:marBottom w:val="0"/>
      <w:divBdr>
        <w:top w:val="none" w:sz="0" w:space="0" w:color="auto"/>
        <w:left w:val="none" w:sz="0" w:space="0" w:color="auto"/>
        <w:bottom w:val="none" w:sz="0" w:space="0" w:color="auto"/>
        <w:right w:val="none" w:sz="0" w:space="0" w:color="auto"/>
      </w:divBdr>
    </w:div>
    <w:div w:id="1551846861">
      <w:bodyDiv w:val="1"/>
      <w:marLeft w:val="0"/>
      <w:marRight w:val="0"/>
      <w:marTop w:val="0"/>
      <w:marBottom w:val="0"/>
      <w:divBdr>
        <w:top w:val="none" w:sz="0" w:space="0" w:color="auto"/>
        <w:left w:val="none" w:sz="0" w:space="0" w:color="auto"/>
        <w:bottom w:val="none" w:sz="0" w:space="0" w:color="auto"/>
        <w:right w:val="none" w:sz="0" w:space="0" w:color="auto"/>
      </w:divBdr>
    </w:div>
    <w:div w:id="1576865166">
      <w:bodyDiv w:val="1"/>
      <w:marLeft w:val="0"/>
      <w:marRight w:val="0"/>
      <w:marTop w:val="0"/>
      <w:marBottom w:val="0"/>
      <w:divBdr>
        <w:top w:val="none" w:sz="0" w:space="0" w:color="auto"/>
        <w:left w:val="none" w:sz="0" w:space="0" w:color="auto"/>
        <w:bottom w:val="none" w:sz="0" w:space="0" w:color="auto"/>
        <w:right w:val="none" w:sz="0" w:space="0" w:color="auto"/>
      </w:divBdr>
    </w:div>
    <w:div w:id="1589466115">
      <w:bodyDiv w:val="1"/>
      <w:marLeft w:val="0"/>
      <w:marRight w:val="0"/>
      <w:marTop w:val="0"/>
      <w:marBottom w:val="0"/>
      <w:divBdr>
        <w:top w:val="none" w:sz="0" w:space="0" w:color="auto"/>
        <w:left w:val="none" w:sz="0" w:space="0" w:color="auto"/>
        <w:bottom w:val="none" w:sz="0" w:space="0" w:color="auto"/>
        <w:right w:val="none" w:sz="0" w:space="0" w:color="auto"/>
      </w:divBdr>
    </w:div>
    <w:div w:id="1604994088">
      <w:bodyDiv w:val="1"/>
      <w:marLeft w:val="0"/>
      <w:marRight w:val="0"/>
      <w:marTop w:val="0"/>
      <w:marBottom w:val="0"/>
      <w:divBdr>
        <w:top w:val="none" w:sz="0" w:space="0" w:color="auto"/>
        <w:left w:val="none" w:sz="0" w:space="0" w:color="auto"/>
        <w:bottom w:val="none" w:sz="0" w:space="0" w:color="auto"/>
        <w:right w:val="none" w:sz="0" w:space="0" w:color="auto"/>
      </w:divBdr>
    </w:div>
    <w:div w:id="1628926816">
      <w:bodyDiv w:val="1"/>
      <w:marLeft w:val="0"/>
      <w:marRight w:val="0"/>
      <w:marTop w:val="0"/>
      <w:marBottom w:val="0"/>
      <w:divBdr>
        <w:top w:val="none" w:sz="0" w:space="0" w:color="auto"/>
        <w:left w:val="none" w:sz="0" w:space="0" w:color="auto"/>
        <w:bottom w:val="none" w:sz="0" w:space="0" w:color="auto"/>
        <w:right w:val="none" w:sz="0" w:space="0" w:color="auto"/>
      </w:divBdr>
    </w:div>
    <w:div w:id="1651134494">
      <w:bodyDiv w:val="1"/>
      <w:marLeft w:val="0"/>
      <w:marRight w:val="0"/>
      <w:marTop w:val="0"/>
      <w:marBottom w:val="0"/>
      <w:divBdr>
        <w:top w:val="none" w:sz="0" w:space="0" w:color="auto"/>
        <w:left w:val="none" w:sz="0" w:space="0" w:color="auto"/>
        <w:bottom w:val="none" w:sz="0" w:space="0" w:color="auto"/>
        <w:right w:val="none" w:sz="0" w:space="0" w:color="auto"/>
      </w:divBdr>
    </w:div>
    <w:div w:id="1662394368">
      <w:bodyDiv w:val="1"/>
      <w:marLeft w:val="0"/>
      <w:marRight w:val="0"/>
      <w:marTop w:val="0"/>
      <w:marBottom w:val="0"/>
      <w:divBdr>
        <w:top w:val="none" w:sz="0" w:space="0" w:color="auto"/>
        <w:left w:val="none" w:sz="0" w:space="0" w:color="auto"/>
        <w:bottom w:val="none" w:sz="0" w:space="0" w:color="auto"/>
        <w:right w:val="none" w:sz="0" w:space="0" w:color="auto"/>
      </w:divBdr>
    </w:div>
    <w:div w:id="1666401454">
      <w:bodyDiv w:val="1"/>
      <w:marLeft w:val="0"/>
      <w:marRight w:val="0"/>
      <w:marTop w:val="0"/>
      <w:marBottom w:val="0"/>
      <w:divBdr>
        <w:top w:val="none" w:sz="0" w:space="0" w:color="auto"/>
        <w:left w:val="none" w:sz="0" w:space="0" w:color="auto"/>
        <w:bottom w:val="none" w:sz="0" w:space="0" w:color="auto"/>
        <w:right w:val="none" w:sz="0" w:space="0" w:color="auto"/>
      </w:divBdr>
    </w:div>
    <w:div w:id="1673335208">
      <w:bodyDiv w:val="1"/>
      <w:marLeft w:val="0"/>
      <w:marRight w:val="0"/>
      <w:marTop w:val="0"/>
      <w:marBottom w:val="0"/>
      <w:divBdr>
        <w:top w:val="none" w:sz="0" w:space="0" w:color="auto"/>
        <w:left w:val="none" w:sz="0" w:space="0" w:color="auto"/>
        <w:bottom w:val="none" w:sz="0" w:space="0" w:color="auto"/>
        <w:right w:val="none" w:sz="0" w:space="0" w:color="auto"/>
      </w:divBdr>
    </w:div>
    <w:div w:id="1687051106">
      <w:bodyDiv w:val="1"/>
      <w:marLeft w:val="0"/>
      <w:marRight w:val="0"/>
      <w:marTop w:val="0"/>
      <w:marBottom w:val="0"/>
      <w:divBdr>
        <w:top w:val="none" w:sz="0" w:space="0" w:color="auto"/>
        <w:left w:val="none" w:sz="0" w:space="0" w:color="auto"/>
        <w:bottom w:val="none" w:sz="0" w:space="0" w:color="auto"/>
        <w:right w:val="none" w:sz="0" w:space="0" w:color="auto"/>
      </w:divBdr>
    </w:div>
    <w:div w:id="1730685040">
      <w:bodyDiv w:val="1"/>
      <w:marLeft w:val="0"/>
      <w:marRight w:val="0"/>
      <w:marTop w:val="0"/>
      <w:marBottom w:val="0"/>
      <w:divBdr>
        <w:top w:val="none" w:sz="0" w:space="0" w:color="auto"/>
        <w:left w:val="none" w:sz="0" w:space="0" w:color="auto"/>
        <w:bottom w:val="none" w:sz="0" w:space="0" w:color="auto"/>
        <w:right w:val="none" w:sz="0" w:space="0" w:color="auto"/>
      </w:divBdr>
    </w:div>
    <w:div w:id="1746799388">
      <w:bodyDiv w:val="1"/>
      <w:marLeft w:val="0"/>
      <w:marRight w:val="0"/>
      <w:marTop w:val="0"/>
      <w:marBottom w:val="0"/>
      <w:divBdr>
        <w:top w:val="none" w:sz="0" w:space="0" w:color="auto"/>
        <w:left w:val="none" w:sz="0" w:space="0" w:color="auto"/>
        <w:bottom w:val="none" w:sz="0" w:space="0" w:color="auto"/>
        <w:right w:val="none" w:sz="0" w:space="0" w:color="auto"/>
      </w:divBdr>
    </w:div>
    <w:div w:id="1755320735">
      <w:bodyDiv w:val="1"/>
      <w:marLeft w:val="0"/>
      <w:marRight w:val="0"/>
      <w:marTop w:val="0"/>
      <w:marBottom w:val="0"/>
      <w:divBdr>
        <w:top w:val="none" w:sz="0" w:space="0" w:color="auto"/>
        <w:left w:val="none" w:sz="0" w:space="0" w:color="auto"/>
        <w:bottom w:val="none" w:sz="0" w:space="0" w:color="auto"/>
        <w:right w:val="none" w:sz="0" w:space="0" w:color="auto"/>
      </w:divBdr>
    </w:div>
    <w:div w:id="1764842242">
      <w:bodyDiv w:val="1"/>
      <w:marLeft w:val="0"/>
      <w:marRight w:val="0"/>
      <w:marTop w:val="0"/>
      <w:marBottom w:val="0"/>
      <w:divBdr>
        <w:top w:val="none" w:sz="0" w:space="0" w:color="auto"/>
        <w:left w:val="none" w:sz="0" w:space="0" w:color="auto"/>
        <w:bottom w:val="none" w:sz="0" w:space="0" w:color="auto"/>
        <w:right w:val="none" w:sz="0" w:space="0" w:color="auto"/>
      </w:divBdr>
    </w:div>
    <w:div w:id="1766656171">
      <w:bodyDiv w:val="1"/>
      <w:marLeft w:val="0"/>
      <w:marRight w:val="0"/>
      <w:marTop w:val="0"/>
      <w:marBottom w:val="0"/>
      <w:divBdr>
        <w:top w:val="none" w:sz="0" w:space="0" w:color="auto"/>
        <w:left w:val="none" w:sz="0" w:space="0" w:color="auto"/>
        <w:bottom w:val="none" w:sz="0" w:space="0" w:color="auto"/>
        <w:right w:val="none" w:sz="0" w:space="0" w:color="auto"/>
      </w:divBdr>
    </w:div>
    <w:div w:id="1773167420">
      <w:bodyDiv w:val="1"/>
      <w:marLeft w:val="0"/>
      <w:marRight w:val="0"/>
      <w:marTop w:val="0"/>
      <w:marBottom w:val="0"/>
      <w:divBdr>
        <w:top w:val="none" w:sz="0" w:space="0" w:color="auto"/>
        <w:left w:val="none" w:sz="0" w:space="0" w:color="auto"/>
        <w:bottom w:val="none" w:sz="0" w:space="0" w:color="auto"/>
        <w:right w:val="none" w:sz="0" w:space="0" w:color="auto"/>
      </w:divBdr>
    </w:div>
    <w:div w:id="1792555123">
      <w:bodyDiv w:val="1"/>
      <w:marLeft w:val="0"/>
      <w:marRight w:val="0"/>
      <w:marTop w:val="0"/>
      <w:marBottom w:val="0"/>
      <w:divBdr>
        <w:top w:val="none" w:sz="0" w:space="0" w:color="auto"/>
        <w:left w:val="none" w:sz="0" w:space="0" w:color="auto"/>
        <w:bottom w:val="none" w:sz="0" w:space="0" w:color="auto"/>
        <w:right w:val="none" w:sz="0" w:space="0" w:color="auto"/>
      </w:divBdr>
    </w:div>
    <w:div w:id="1805078701">
      <w:bodyDiv w:val="1"/>
      <w:marLeft w:val="0"/>
      <w:marRight w:val="0"/>
      <w:marTop w:val="0"/>
      <w:marBottom w:val="0"/>
      <w:divBdr>
        <w:top w:val="none" w:sz="0" w:space="0" w:color="auto"/>
        <w:left w:val="none" w:sz="0" w:space="0" w:color="auto"/>
        <w:bottom w:val="none" w:sz="0" w:space="0" w:color="auto"/>
        <w:right w:val="none" w:sz="0" w:space="0" w:color="auto"/>
      </w:divBdr>
    </w:div>
    <w:div w:id="1813978669">
      <w:bodyDiv w:val="1"/>
      <w:marLeft w:val="0"/>
      <w:marRight w:val="0"/>
      <w:marTop w:val="0"/>
      <w:marBottom w:val="0"/>
      <w:divBdr>
        <w:top w:val="none" w:sz="0" w:space="0" w:color="auto"/>
        <w:left w:val="none" w:sz="0" w:space="0" w:color="auto"/>
        <w:bottom w:val="none" w:sz="0" w:space="0" w:color="auto"/>
        <w:right w:val="none" w:sz="0" w:space="0" w:color="auto"/>
      </w:divBdr>
    </w:div>
    <w:div w:id="1827504124">
      <w:bodyDiv w:val="1"/>
      <w:marLeft w:val="0"/>
      <w:marRight w:val="0"/>
      <w:marTop w:val="0"/>
      <w:marBottom w:val="0"/>
      <w:divBdr>
        <w:top w:val="none" w:sz="0" w:space="0" w:color="auto"/>
        <w:left w:val="none" w:sz="0" w:space="0" w:color="auto"/>
        <w:bottom w:val="none" w:sz="0" w:space="0" w:color="auto"/>
        <w:right w:val="none" w:sz="0" w:space="0" w:color="auto"/>
      </w:divBdr>
    </w:div>
    <w:div w:id="1835802656">
      <w:bodyDiv w:val="1"/>
      <w:marLeft w:val="0"/>
      <w:marRight w:val="0"/>
      <w:marTop w:val="0"/>
      <w:marBottom w:val="0"/>
      <w:divBdr>
        <w:top w:val="none" w:sz="0" w:space="0" w:color="auto"/>
        <w:left w:val="none" w:sz="0" w:space="0" w:color="auto"/>
        <w:bottom w:val="none" w:sz="0" w:space="0" w:color="auto"/>
        <w:right w:val="none" w:sz="0" w:space="0" w:color="auto"/>
      </w:divBdr>
    </w:div>
    <w:div w:id="1865048674">
      <w:bodyDiv w:val="1"/>
      <w:marLeft w:val="0"/>
      <w:marRight w:val="0"/>
      <w:marTop w:val="0"/>
      <w:marBottom w:val="0"/>
      <w:divBdr>
        <w:top w:val="none" w:sz="0" w:space="0" w:color="auto"/>
        <w:left w:val="none" w:sz="0" w:space="0" w:color="auto"/>
        <w:bottom w:val="none" w:sz="0" w:space="0" w:color="auto"/>
        <w:right w:val="none" w:sz="0" w:space="0" w:color="auto"/>
      </w:divBdr>
    </w:div>
    <w:div w:id="1891919821">
      <w:bodyDiv w:val="1"/>
      <w:marLeft w:val="0"/>
      <w:marRight w:val="0"/>
      <w:marTop w:val="0"/>
      <w:marBottom w:val="0"/>
      <w:divBdr>
        <w:top w:val="none" w:sz="0" w:space="0" w:color="auto"/>
        <w:left w:val="none" w:sz="0" w:space="0" w:color="auto"/>
        <w:bottom w:val="none" w:sz="0" w:space="0" w:color="auto"/>
        <w:right w:val="none" w:sz="0" w:space="0" w:color="auto"/>
      </w:divBdr>
    </w:div>
    <w:div w:id="1912889005">
      <w:bodyDiv w:val="1"/>
      <w:marLeft w:val="0"/>
      <w:marRight w:val="0"/>
      <w:marTop w:val="0"/>
      <w:marBottom w:val="0"/>
      <w:divBdr>
        <w:top w:val="none" w:sz="0" w:space="0" w:color="auto"/>
        <w:left w:val="none" w:sz="0" w:space="0" w:color="auto"/>
        <w:bottom w:val="none" w:sz="0" w:space="0" w:color="auto"/>
        <w:right w:val="none" w:sz="0" w:space="0" w:color="auto"/>
      </w:divBdr>
    </w:div>
    <w:div w:id="1919096481">
      <w:bodyDiv w:val="1"/>
      <w:marLeft w:val="0"/>
      <w:marRight w:val="0"/>
      <w:marTop w:val="0"/>
      <w:marBottom w:val="0"/>
      <w:divBdr>
        <w:top w:val="none" w:sz="0" w:space="0" w:color="auto"/>
        <w:left w:val="none" w:sz="0" w:space="0" w:color="auto"/>
        <w:bottom w:val="none" w:sz="0" w:space="0" w:color="auto"/>
        <w:right w:val="none" w:sz="0" w:space="0" w:color="auto"/>
      </w:divBdr>
    </w:div>
    <w:div w:id="1937669508">
      <w:bodyDiv w:val="1"/>
      <w:marLeft w:val="0"/>
      <w:marRight w:val="0"/>
      <w:marTop w:val="0"/>
      <w:marBottom w:val="0"/>
      <w:divBdr>
        <w:top w:val="none" w:sz="0" w:space="0" w:color="auto"/>
        <w:left w:val="none" w:sz="0" w:space="0" w:color="auto"/>
        <w:bottom w:val="none" w:sz="0" w:space="0" w:color="auto"/>
        <w:right w:val="none" w:sz="0" w:space="0" w:color="auto"/>
      </w:divBdr>
    </w:div>
    <w:div w:id="1939095398">
      <w:bodyDiv w:val="1"/>
      <w:marLeft w:val="0"/>
      <w:marRight w:val="0"/>
      <w:marTop w:val="0"/>
      <w:marBottom w:val="0"/>
      <w:divBdr>
        <w:top w:val="none" w:sz="0" w:space="0" w:color="auto"/>
        <w:left w:val="none" w:sz="0" w:space="0" w:color="auto"/>
        <w:bottom w:val="none" w:sz="0" w:space="0" w:color="auto"/>
        <w:right w:val="none" w:sz="0" w:space="0" w:color="auto"/>
      </w:divBdr>
    </w:div>
    <w:div w:id="1939098920">
      <w:bodyDiv w:val="1"/>
      <w:marLeft w:val="0"/>
      <w:marRight w:val="0"/>
      <w:marTop w:val="0"/>
      <w:marBottom w:val="0"/>
      <w:divBdr>
        <w:top w:val="none" w:sz="0" w:space="0" w:color="auto"/>
        <w:left w:val="none" w:sz="0" w:space="0" w:color="auto"/>
        <w:bottom w:val="none" w:sz="0" w:space="0" w:color="auto"/>
        <w:right w:val="none" w:sz="0" w:space="0" w:color="auto"/>
      </w:divBdr>
    </w:div>
    <w:div w:id="1947229045">
      <w:bodyDiv w:val="1"/>
      <w:marLeft w:val="0"/>
      <w:marRight w:val="0"/>
      <w:marTop w:val="0"/>
      <w:marBottom w:val="0"/>
      <w:divBdr>
        <w:top w:val="none" w:sz="0" w:space="0" w:color="auto"/>
        <w:left w:val="none" w:sz="0" w:space="0" w:color="auto"/>
        <w:bottom w:val="none" w:sz="0" w:space="0" w:color="auto"/>
        <w:right w:val="none" w:sz="0" w:space="0" w:color="auto"/>
      </w:divBdr>
    </w:div>
    <w:div w:id="1956250870">
      <w:bodyDiv w:val="1"/>
      <w:marLeft w:val="0"/>
      <w:marRight w:val="0"/>
      <w:marTop w:val="0"/>
      <w:marBottom w:val="0"/>
      <w:divBdr>
        <w:top w:val="none" w:sz="0" w:space="0" w:color="auto"/>
        <w:left w:val="none" w:sz="0" w:space="0" w:color="auto"/>
        <w:bottom w:val="none" w:sz="0" w:space="0" w:color="auto"/>
        <w:right w:val="none" w:sz="0" w:space="0" w:color="auto"/>
      </w:divBdr>
    </w:div>
    <w:div w:id="2004162457">
      <w:bodyDiv w:val="1"/>
      <w:marLeft w:val="0"/>
      <w:marRight w:val="0"/>
      <w:marTop w:val="0"/>
      <w:marBottom w:val="0"/>
      <w:divBdr>
        <w:top w:val="none" w:sz="0" w:space="0" w:color="auto"/>
        <w:left w:val="none" w:sz="0" w:space="0" w:color="auto"/>
        <w:bottom w:val="none" w:sz="0" w:space="0" w:color="auto"/>
        <w:right w:val="none" w:sz="0" w:space="0" w:color="auto"/>
      </w:divBdr>
    </w:div>
    <w:div w:id="2009094553">
      <w:bodyDiv w:val="1"/>
      <w:marLeft w:val="0"/>
      <w:marRight w:val="0"/>
      <w:marTop w:val="0"/>
      <w:marBottom w:val="0"/>
      <w:divBdr>
        <w:top w:val="none" w:sz="0" w:space="0" w:color="auto"/>
        <w:left w:val="none" w:sz="0" w:space="0" w:color="auto"/>
        <w:bottom w:val="none" w:sz="0" w:space="0" w:color="auto"/>
        <w:right w:val="none" w:sz="0" w:space="0" w:color="auto"/>
      </w:divBdr>
    </w:div>
    <w:div w:id="2065249905">
      <w:bodyDiv w:val="1"/>
      <w:marLeft w:val="0"/>
      <w:marRight w:val="0"/>
      <w:marTop w:val="0"/>
      <w:marBottom w:val="0"/>
      <w:divBdr>
        <w:top w:val="none" w:sz="0" w:space="0" w:color="auto"/>
        <w:left w:val="none" w:sz="0" w:space="0" w:color="auto"/>
        <w:bottom w:val="none" w:sz="0" w:space="0" w:color="auto"/>
        <w:right w:val="none" w:sz="0" w:space="0" w:color="auto"/>
      </w:divBdr>
    </w:div>
    <w:div w:id="2079864173">
      <w:bodyDiv w:val="1"/>
      <w:marLeft w:val="0"/>
      <w:marRight w:val="0"/>
      <w:marTop w:val="0"/>
      <w:marBottom w:val="0"/>
      <w:divBdr>
        <w:top w:val="none" w:sz="0" w:space="0" w:color="auto"/>
        <w:left w:val="none" w:sz="0" w:space="0" w:color="auto"/>
        <w:bottom w:val="none" w:sz="0" w:space="0" w:color="auto"/>
        <w:right w:val="none" w:sz="0" w:space="0" w:color="auto"/>
      </w:divBdr>
    </w:div>
    <w:div w:id="2095055739">
      <w:bodyDiv w:val="1"/>
      <w:marLeft w:val="0"/>
      <w:marRight w:val="0"/>
      <w:marTop w:val="0"/>
      <w:marBottom w:val="0"/>
      <w:divBdr>
        <w:top w:val="none" w:sz="0" w:space="0" w:color="auto"/>
        <w:left w:val="none" w:sz="0" w:space="0" w:color="auto"/>
        <w:bottom w:val="none" w:sz="0" w:space="0" w:color="auto"/>
        <w:right w:val="none" w:sz="0" w:space="0" w:color="auto"/>
      </w:divBdr>
    </w:div>
    <w:div w:id="2112700558">
      <w:bodyDiv w:val="1"/>
      <w:marLeft w:val="0"/>
      <w:marRight w:val="0"/>
      <w:marTop w:val="0"/>
      <w:marBottom w:val="0"/>
      <w:divBdr>
        <w:top w:val="none" w:sz="0" w:space="0" w:color="auto"/>
        <w:left w:val="none" w:sz="0" w:space="0" w:color="auto"/>
        <w:bottom w:val="none" w:sz="0" w:space="0" w:color="auto"/>
        <w:right w:val="none" w:sz="0" w:space="0" w:color="auto"/>
      </w:divBdr>
    </w:div>
    <w:div w:id="2113015305">
      <w:bodyDiv w:val="1"/>
      <w:marLeft w:val="0"/>
      <w:marRight w:val="0"/>
      <w:marTop w:val="0"/>
      <w:marBottom w:val="0"/>
      <w:divBdr>
        <w:top w:val="none" w:sz="0" w:space="0" w:color="auto"/>
        <w:left w:val="none" w:sz="0" w:space="0" w:color="auto"/>
        <w:bottom w:val="none" w:sz="0" w:space="0" w:color="auto"/>
        <w:right w:val="none" w:sz="0" w:space="0" w:color="auto"/>
      </w:divBdr>
    </w:div>
    <w:div w:id="2116511456">
      <w:bodyDiv w:val="1"/>
      <w:marLeft w:val="0"/>
      <w:marRight w:val="0"/>
      <w:marTop w:val="0"/>
      <w:marBottom w:val="0"/>
      <w:divBdr>
        <w:top w:val="none" w:sz="0" w:space="0" w:color="auto"/>
        <w:left w:val="none" w:sz="0" w:space="0" w:color="auto"/>
        <w:bottom w:val="none" w:sz="0" w:space="0" w:color="auto"/>
        <w:right w:val="none" w:sz="0" w:space="0" w:color="auto"/>
      </w:divBdr>
    </w:div>
    <w:div w:id="2135168294">
      <w:bodyDiv w:val="1"/>
      <w:marLeft w:val="0"/>
      <w:marRight w:val="0"/>
      <w:marTop w:val="0"/>
      <w:marBottom w:val="0"/>
      <w:divBdr>
        <w:top w:val="none" w:sz="0" w:space="0" w:color="auto"/>
        <w:left w:val="none" w:sz="0" w:space="0" w:color="auto"/>
        <w:bottom w:val="none" w:sz="0" w:space="0" w:color="auto"/>
        <w:right w:val="none" w:sz="0" w:space="0" w:color="auto"/>
      </w:divBdr>
    </w:div>
    <w:div w:id="2136629618">
      <w:bodyDiv w:val="1"/>
      <w:marLeft w:val="0"/>
      <w:marRight w:val="0"/>
      <w:marTop w:val="0"/>
      <w:marBottom w:val="0"/>
      <w:divBdr>
        <w:top w:val="none" w:sz="0" w:space="0" w:color="auto"/>
        <w:left w:val="none" w:sz="0" w:space="0" w:color="auto"/>
        <w:bottom w:val="none" w:sz="0" w:space="0" w:color="auto"/>
        <w:right w:val="none" w:sz="0" w:space="0" w:color="auto"/>
      </w:divBdr>
    </w:div>
    <w:div w:id="2144080926">
      <w:bodyDiv w:val="1"/>
      <w:marLeft w:val="0"/>
      <w:marRight w:val="0"/>
      <w:marTop w:val="0"/>
      <w:marBottom w:val="0"/>
      <w:divBdr>
        <w:top w:val="none" w:sz="0" w:space="0" w:color="auto"/>
        <w:left w:val="none" w:sz="0" w:space="0" w:color="auto"/>
        <w:bottom w:val="none" w:sz="0" w:space="0" w:color="auto"/>
        <w:right w:val="none" w:sz="0" w:space="0" w:color="auto"/>
      </w:divBdr>
    </w:div>
    <w:div w:id="21453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Joint_stock_company" TargetMode="External"/><Relationship Id="rId21" Type="http://schemas.openxmlformats.org/officeDocument/2006/relationships/hyperlink" Target="https://en.wikipedia.org/wiki/Forbes_Global_2000" TargetMode="External"/><Relationship Id="rId42" Type="http://schemas.openxmlformats.org/officeDocument/2006/relationships/hyperlink" Target="https://en.wikipedia.org/wiki/Bharatiya_Mahila_Bank" TargetMode="External"/><Relationship Id="rId47" Type="http://schemas.openxmlformats.org/officeDocument/2006/relationships/hyperlink" Target="https://en.wikipedia.org/wiki/Financial_services" TargetMode="External"/><Relationship Id="rId63" Type="http://schemas.openxmlformats.org/officeDocument/2006/relationships/hyperlink" Target="https://en.wikipedia.org/wiki/The_Times_Group" TargetMode="External"/><Relationship Id="rId68" Type="http://schemas.openxmlformats.org/officeDocument/2006/relationships/hyperlink" Target="https://en.wikipedia.org/wiki/Tata_Group" TargetMode="External"/><Relationship Id="rId84" Type="http://schemas.openxmlformats.org/officeDocument/2006/relationships/chart" Target="charts/chart5.xml"/><Relationship Id="rId89" Type="http://schemas.openxmlformats.org/officeDocument/2006/relationships/chart" Target="charts/chart10.xml"/><Relationship Id="rId16" Type="http://schemas.openxmlformats.org/officeDocument/2006/relationships/hyperlink" Target="https://en.wikipedia.org/wiki/Reserve_Bank_of_India" TargetMode="External"/><Relationship Id="rId11" Type="http://schemas.openxmlformats.org/officeDocument/2006/relationships/hyperlink" Target="https://en.wikipedia.org/wiki/Bank" TargetMode="External"/><Relationship Id="rId32" Type="http://schemas.openxmlformats.org/officeDocument/2006/relationships/hyperlink" Target="https://en.wikipedia.org/wiki/Conflict_of_interest" TargetMode="External"/><Relationship Id="rId37" Type="http://schemas.openxmlformats.org/officeDocument/2006/relationships/hyperlink" Target="https://en.wikipedia.org/wiki/State_Bank_of_Bikaner_and_Jaipur" TargetMode="External"/><Relationship Id="rId53" Type="http://schemas.openxmlformats.org/officeDocument/2006/relationships/hyperlink" Target="https://en.wikipedia.org/wiki/List_of_largest_employers_in_India" TargetMode="External"/><Relationship Id="rId58" Type="http://schemas.openxmlformats.org/officeDocument/2006/relationships/hyperlink" Target="https://en.wikipedia.org/wiki/Mumbai" TargetMode="External"/><Relationship Id="rId74" Type="http://schemas.openxmlformats.org/officeDocument/2006/relationships/hyperlink" Target="https://en.wikipedia.org/wiki/Market_capitalization" TargetMode="External"/><Relationship Id="rId79" Type="http://schemas.openxmlformats.org/officeDocument/2006/relationships/hyperlink" Target="https://en.wikipedia.org/wiki/Kavaratti" TargetMode="External"/><Relationship Id="rId102" Type="http://schemas.openxmlformats.org/officeDocument/2006/relationships/hyperlink" Target="https://www.moneycontrol.com" TargetMode="External"/><Relationship Id="rId5" Type="http://schemas.openxmlformats.org/officeDocument/2006/relationships/webSettings" Target="webSettings.xml"/><Relationship Id="rId90" Type="http://schemas.openxmlformats.org/officeDocument/2006/relationships/chart" Target="charts/chart11.xml"/><Relationship Id="rId95" Type="http://schemas.openxmlformats.org/officeDocument/2006/relationships/image" Target="media/image5.png"/><Relationship Id="rId22" Type="http://schemas.openxmlformats.org/officeDocument/2006/relationships/hyperlink" Target="https://en.wikipedia.org/wiki/Bank_of_Calcutta" TargetMode="External"/><Relationship Id="rId27" Type="http://schemas.openxmlformats.org/officeDocument/2006/relationships/hyperlink" Target="https://en.wikipedia.org/wiki/Royal_charter" TargetMode="External"/><Relationship Id="rId43" Type="http://schemas.openxmlformats.org/officeDocument/2006/relationships/hyperlink" Target="https://en.wikipedia.org/wiki/Yes_Bank" TargetMode="External"/><Relationship Id="rId48" Type="http://schemas.openxmlformats.org/officeDocument/2006/relationships/hyperlink" Target="https://en.wikipedia.org/wiki/Company" TargetMode="External"/><Relationship Id="rId64" Type="http://schemas.openxmlformats.org/officeDocument/2006/relationships/hyperlink" Target="https://en.wikipedia.org/wiki/American_depository_receipt" TargetMode="External"/><Relationship Id="rId69" Type="http://schemas.openxmlformats.org/officeDocument/2006/relationships/hyperlink" Target="https://en.wikipedia.org/wiki/National_Payments_Corporation_of_India" TargetMode="External"/><Relationship Id="rId80" Type="http://schemas.openxmlformats.org/officeDocument/2006/relationships/chart" Target="charts/chart1.xml"/><Relationship Id="rId85" Type="http://schemas.openxmlformats.org/officeDocument/2006/relationships/chart" Target="charts/chart6.xml"/><Relationship Id="rId12" Type="http://schemas.openxmlformats.org/officeDocument/2006/relationships/hyperlink" Target="https://en.wikipedia.org/wiki/Financial_service" TargetMode="External"/><Relationship Id="rId17" Type="http://schemas.openxmlformats.org/officeDocument/2006/relationships/hyperlink" Target="https://en.wikipedia.org/wiki/Systemically_important_financial_institution" TargetMode="External"/><Relationship Id="rId33" Type="http://schemas.openxmlformats.org/officeDocument/2006/relationships/hyperlink" Target="https://en.wikipedia.org/wiki/Indian_Princely_States" TargetMode="External"/><Relationship Id="rId38" Type="http://schemas.openxmlformats.org/officeDocument/2006/relationships/hyperlink" Target="https://en.wikipedia.org/wiki/State_Bank_of_Hyderabad" TargetMode="External"/><Relationship Id="rId59" Type="http://schemas.openxmlformats.org/officeDocument/2006/relationships/hyperlink" Target="https://en.wikipedia.org/wiki/Worli" TargetMode="External"/><Relationship Id="rId103" Type="http://schemas.openxmlformats.org/officeDocument/2006/relationships/footer" Target="footer1.xml"/><Relationship Id="rId20" Type="http://schemas.openxmlformats.org/officeDocument/2006/relationships/hyperlink" Target="https://en.wikipedia.org/wiki/Fortune_Global_500" TargetMode="External"/><Relationship Id="rId41" Type="http://schemas.openxmlformats.org/officeDocument/2006/relationships/hyperlink" Target="https://en.wikipedia.org/wiki/State_Bank_of_Travancore" TargetMode="External"/><Relationship Id="rId54" Type="http://schemas.openxmlformats.org/officeDocument/2006/relationships/hyperlink" Target="https://en.wikipedia.org/wiki/Takeover" TargetMode="External"/><Relationship Id="rId62" Type="http://schemas.openxmlformats.org/officeDocument/2006/relationships/hyperlink" Target="https://en.wikipedia.org/wiki/Times_Bank" TargetMode="External"/><Relationship Id="rId70" Type="http://schemas.openxmlformats.org/officeDocument/2006/relationships/hyperlink" Target="https://en.wikipedia.org/wiki/Housing_Development_Finance_Corporation" TargetMode="External"/><Relationship Id="rId75" Type="http://schemas.openxmlformats.org/officeDocument/2006/relationships/hyperlink" Target="https://en.wikipedia.org/wiki/List_of_largest_banks" TargetMode="External"/><Relationship Id="rId83" Type="http://schemas.openxmlformats.org/officeDocument/2006/relationships/chart" Target="charts/chart4.xml"/><Relationship Id="rId88" Type="http://schemas.openxmlformats.org/officeDocument/2006/relationships/chart" Target="charts/chart9.xml"/><Relationship Id="rId91" Type="http://schemas.openxmlformats.org/officeDocument/2006/relationships/chart" Target="charts/chart12.xml"/><Relationship Id="rId9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Crore" TargetMode="External"/><Relationship Id="rId23" Type="http://schemas.openxmlformats.org/officeDocument/2006/relationships/hyperlink" Target="https://en.wikipedia.org/wiki/Bank_of_Bengal" TargetMode="External"/><Relationship Id="rId28" Type="http://schemas.openxmlformats.org/officeDocument/2006/relationships/hyperlink" Target="https://en.wikipedia.org/wiki/Imperial_Bank_of_India" TargetMode="External"/><Relationship Id="rId36" Type="http://schemas.openxmlformats.org/officeDocument/2006/relationships/hyperlink" Target="https://en.wikipedia.org/wiki/SBI_Life_Insurance_Company" TargetMode="External"/><Relationship Id="rId49" Type="http://schemas.openxmlformats.org/officeDocument/2006/relationships/hyperlink" Target="https://en.wikipedia.org/wiki/Mumbai" TargetMode="External"/><Relationship Id="rId57" Type="http://schemas.openxmlformats.org/officeDocument/2006/relationships/hyperlink" Target="https://en.wikipedia.org/wiki/Economic_liberalisation_in_India" TargetMode="External"/><Relationship Id="rId10" Type="http://schemas.openxmlformats.org/officeDocument/2006/relationships/hyperlink" Target="https://en.wikipedia.org/wiki/Public_sector_undertakings_in_India" TargetMode="External"/><Relationship Id="rId31" Type="http://schemas.openxmlformats.org/officeDocument/2006/relationships/hyperlink" Target="https://en.wikipedia.org/wiki/Government_of_India" TargetMode="External"/><Relationship Id="rId44" Type="http://schemas.openxmlformats.org/officeDocument/2006/relationships/hyperlink" Target="https://en.wikipedia.org/wiki/Startup_company" TargetMode="External"/><Relationship Id="rId52" Type="http://schemas.openxmlformats.org/officeDocument/2006/relationships/hyperlink" Target="https://en.wikipedia.org/wiki/Too_big_to_fail" TargetMode="External"/><Relationship Id="rId60" Type="http://schemas.openxmlformats.org/officeDocument/2006/relationships/hyperlink" Target="https://en.wikipedia.org/wiki/Ministry_of_Finance_(India)" TargetMode="External"/><Relationship Id="rId65" Type="http://schemas.openxmlformats.org/officeDocument/2006/relationships/hyperlink" Target="https://en.wikipedia.org/wiki/New_York_Stock_Exchange" TargetMode="External"/><Relationship Id="rId73" Type="http://schemas.openxmlformats.org/officeDocument/2006/relationships/hyperlink" Target="https://en.wikipedia.org/wiki/Interest_rate" TargetMode="External"/><Relationship Id="rId78" Type="http://schemas.openxmlformats.org/officeDocument/2006/relationships/hyperlink" Target="https://en.wikipedia.org/wiki/Lakshadweep" TargetMode="External"/><Relationship Id="rId81" Type="http://schemas.openxmlformats.org/officeDocument/2006/relationships/chart" Target="charts/chart2.xml"/><Relationship Id="rId86" Type="http://schemas.openxmlformats.org/officeDocument/2006/relationships/chart" Target="charts/chart7.xml"/><Relationship Id="rId94" Type="http://schemas.openxmlformats.org/officeDocument/2006/relationships/image" Target="media/image4.png"/><Relationship Id="rId99" Type="http://schemas.openxmlformats.org/officeDocument/2006/relationships/hyperlink" Target="https://www.federalbank.co.in" TargetMode="External"/><Relationship Id="rId101" Type="http://schemas.openxmlformats.org/officeDocument/2006/relationships/hyperlink" Target="https://www.hdfcbank.com/" TargetMode="External"/><Relationship Id="rId4" Type="http://schemas.openxmlformats.org/officeDocument/2006/relationships/settings" Target="settings.xml"/><Relationship Id="rId9" Type="http://schemas.openxmlformats.org/officeDocument/2006/relationships/hyperlink" Target="https://en.wikipedia.org/wiki/Multinational_corporation" TargetMode="External"/><Relationship Id="rId13" Type="http://schemas.openxmlformats.org/officeDocument/2006/relationships/hyperlink" Target="https://en.wikipedia.org/wiki/Mumbai" TargetMode="External"/><Relationship Id="rId18" Type="http://schemas.openxmlformats.org/officeDocument/2006/relationships/hyperlink" Target="https://en.wikipedia.org/wiki/Too_big_to_fail" TargetMode="External"/><Relationship Id="rId39" Type="http://schemas.openxmlformats.org/officeDocument/2006/relationships/hyperlink" Target="https://en.wikipedia.org/wiki/State_Bank_of_Mysore" TargetMode="External"/><Relationship Id="rId34" Type="http://schemas.openxmlformats.org/officeDocument/2006/relationships/hyperlink" Target="https://en.wikipedia.org/wiki/BNP_Paribas" TargetMode="External"/><Relationship Id="rId50" Type="http://schemas.openxmlformats.org/officeDocument/2006/relationships/hyperlink" Target="https://en.wikipedia.org/wiki/Reserve_Bank_of_India" TargetMode="External"/><Relationship Id="rId55" Type="http://schemas.openxmlformats.org/officeDocument/2006/relationships/hyperlink" Target="https://en.wikipedia.org/wiki/Housing_Development_Finance_Corporation" TargetMode="External"/><Relationship Id="rId76" Type="http://schemas.openxmlformats.org/officeDocument/2006/relationships/hyperlink" Target="https://en.wikipedia.org/wiki/State_Bank_of_India" TargetMode="External"/><Relationship Id="rId97" Type="http://schemas.openxmlformats.org/officeDocument/2006/relationships/image" Target="media/image7.png"/><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n.wikipedia.org/wiki/Mergers_and_acquisitions" TargetMode="External"/><Relationship Id="rId9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en.wikipedia.org/wiki/Reserve_Bank_of_India" TargetMode="External"/><Relationship Id="rId24" Type="http://schemas.openxmlformats.org/officeDocument/2006/relationships/hyperlink" Target="https://en.wikipedia.org/wiki/Bank_of_Bombay" TargetMode="External"/><Relationship Id="rId40" Type="http://schemas.openxmlformats.org/officeDocument/2006/relationships/hyperlink" Target="https://en.wikipedia.org/wiki/State_Bank_of_Patiala" TargetMode="External"/><Relationship Id="rId45" Type="http://schemas.openxmlformats.org/officeDocument/2006/relationships/hyperlink" Target="https://en.wikipedia.org/wiki/Bengaluru" TargetMode="External"/><Relationship Id="rId66" Type="http://schemas.openxmlformats.org/officeDocument/2006/relationships/hyperlink" Target="https://en.wikipedia.org/wiki/Centurion_Bank_of_Punjab" TargetMode="External"/><Relationship Id="rId87" Type="http://schemas.openxmlformats.org/officeDocument/2006/relationships/chart" Target="charts/chart8.xml"/><Relationship Id="rId61" Type="http://schemas.openxmlformats.org/officeDocument/2006/relationships/hyperlink" Target="https://en.wikipedia.org/wiki/Manmohan_Singh" TargetMode="External"/><Relationship Id="rId82" Type="http://schemas.openxmlformats.org/officeDocument/2006/relationships/chart" Target="charts/chart3.xml"/><Relationship Id="rId19" Type="http://schemas.openxmlformats.org/officeDocument/2006/relationships/hyperlink" Target="https://en.wikipedia.org/wiki/List_of_largest_banks" TargetMode="External"/><Relationship Id="rId14" Type="http://schemas.openxmlformats.org/officeDocument/2006/relationships/hyperlink" Target="https://en.wikipedia.org/wiki/List_of_largest_employers_in_India" TargetMode="External"/><Relationship Id="rId30" Type="http://schemas.openxmlformats.org/officeDocument/2006/relationships/hyperlink" Target="https://en.wikipedia.org/wiki/Central_Bank" TargetMode="External"/><Relationship Id="rId35" Type="http://schemas.openxmlformats.org/officeDocument/2006/relationships/hyperlink" Target="https://en.wikipedia.org/wiki/Joint_venture" TargetMode="External"/><Relationship Id="rId56" Type="http://schemas.openxmlformats.org/officeDocument/2006/relationships/hyperlink" Target="https://en.wikipedia.org/wiki/Housing_Development_Finance_Corporation" TargetMode="External"/><Relationship Id="rId77" Type="http://schemas.openxmlformats.org/officeDocument/2006/relationships/hyperlink" Target="https://en.wikipedia.org/wiki/HDFC_Bank" TargetMode="External"/><Relationship Id="rId100" Type="http://schemas.openxmlformats.org/officeDocument/2006/relationships/hyperlink" Target="https://www.onlinesbi.sbi/" TargetMode="External"/><Relationship Id="rId105"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en.wikipedia.org/wiki/Systemically_important_financial_institution" TargetMode="External"/><Relationship Id="rId72" Type="http://schemas.openxmlformats.org/officeDocument/2006/relationships/hyperlink" Target="https://en.wikipedia.org/wiki/Mortgage" TargetMode="External"/><Relationship Id="rId93" Type="http://schemas.openxmlformats.org/officeDocument/2006/relationships/image" Target="media/image3.png"/><Relationship Id="rId98" Type="http://schemas.openxmlformats.org/officeDocument/2006/relationships/hyperlink" Target="https://m.rbi.org.in" TargetMode="External"/><Relationship Id="rId3" Type="http://schemas.openxmlformats.org/officeDocument/2006/relationships/styles" Target="styles.xml"/><Relationship Id="rId25" Type="http://schemas.openxmlformats.org/officeDocument/2006/relationships/hyperlink" Target="https://en.wikipedia.org/wiki/Bank_of_Madras" TargetMode="External"/><Relationship Id="rId46" Type="http://schemas.openxmlformats.org/officeDocument/2006/relationships/hyperlink" Target="https://en.wikipedia.org/wiki/Banking" TargetMode="External"/><Relationship Id="rId67" Type="http://schemas.openxmlformats.org/officeDocument/2006/relationships/hyperlink" Target="https://en.wikipedia.org/wiki/Stock_swa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NET NPA RATIO OF</a:t>
            </a:r>
            <a:r>
              <a:rPr lang="en-US" baseline="0"/>
              <a:t> FEDERAL BANK </a:t>
            </a:r>
            <a:r>
              <a:rPr lang="en-US"/>
              <a:t>(%)</a:t>
            </a:r>
          </a:p>
        </c:rich>
      </c:tx>
      <c:layout>
        <c:manualLayout>
          <c:xMode val="edge"/>
          <c:yMode val="edge"/>
          <c:x val="0.3182985564304461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Sheet2!$N$3</c:f>
              <c:strCache>
                <c:ptCount val="1"/>
                <c:pt idx="0">
                  <c:v>NET NPA RATIO (%)</c:v>
                </c:pt>
              </c:strCache>
            </c:strRef>
          </c:tx>
          <c:spPr>
            <a:ln w="28575" cap="rnd">
              <a:solidFill>
                <a:schemeClr val="accent1"/>
              </a:solidFill>
              <a:round/>
            </a:ln>
            <a:effectLst/>
          </c:spPr>
          <c:marker>
            <c:symbol val="none"/>
          </c:marker>
          <c:cat>
            <c:numRef>
              <c:f>Sheet2!$M$4:$M$9</c:f>
              <c:numCache>
                <c:formatCode>General</c:formatCode>
                <c:ptCount val="6"/>
                <c:pt idx="0">
                  <c:v>2019</c:v>
                </c:pt>
                <c:pt idx="1">
                  <c:v>2020</c:v>
                </c:pt>
                <c:pt idx="2">
                  <c:v>2021</c:v>
                </c:pt>
                <c:pt idx="3">
                  <c:v>2022</c:v>
                </c:pt>
                <c:pt idx="4">
                  <c:v>2023</c:v>
                </c:pt>
                <c:pt idx="5">
                  <c:v>2024</c:v>
                </c:pt>
              </c:numCache>
            </c:numRef>
          </c:cat>
          <c:val>
            <c:numRef>
              <c:f>Sheet2!$N$4:$N$9</c:f>
              <c:numCache>
                <c:formatCode>General</c:formatCode>
                <c:ptCount val="6"/>
                <c:pt idx="0">
                  <c:v>1.43</c:v>
                </c:pt>
                <c:pt idx="1">
                  <c:v>1.27</c:v>
                </c:pt>
                <c:pt idx="2">
                  <c:v>1.03</c:v>
                </c:pt>
                <c:pt idx="3">
                  <c:v>0.79</c:v>
                </c:pt>
                <c:pt idx="4">
                  <c:v>0.72</c:v>
                </c:pt>
                <c:pt idx="5">
                  <c:v>0.6</c:v>
                </c:pt>
              </c:numCache>
            </c:numRef>
          </c:val>
          <c:smooth val="0"/>
          <c:extLst>
            <c:ext xmlns:c16="http://schemas.microsoft.com/office/drawing/2014/chart" uri="{C3380CC4-5D6E-409C-BE32-E72D297353CC}">
              <c16:uniqueId val="{00000000-5989-4B12-A9C1-DADB6D8681EF}"/>
            </c:ext>
          </c:extLst>
        </c:ser>
        <c:dLbls>
          <c:showLegendKey val="0"/>
          <c:showVal val="0"/>
          <c:showCatName val="0"/>
          <c:showSerName val="0"/>
          <c:showPercent val="0"/>
          <c:showBubbleSize val="0"/>
        </c:dLbls>
        <c:smooth val="0"/>
        <c:axId val="1432721839"/>
        <c:axId val="1432724719"/>
      </c:lineChart>
      <c:catAx>
        <c:axId val="143272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24719"/>
        <c:crosses val="autoZero"/>
        <c:auto val="1"/>
        <c:lblAlgn val="ctr"/>
        <c:lblOffset val="100"/>
        <c:noMultiLvlLbl val="0"/>
      </c:catAx>
      <c:valAx>
        <c:axId val="143272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21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NPA Ratio of HDFC</a:t>
            </a:r>
            <a:r>
              <a:rPr lang="en-GB" baseline="0"/>
              <a:t> Bank</a:t>
            </a: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Sheet2!$C$11</c:f>
              <c:strCache>
                <c:ptCount val="1"/>
                <c:pt idx="0">
                  <c:v>NPA Ratio (%)</c:v>
                </c:pt>
              </c:strCache>
            </c:strRef>
          </c:tx>
          <c:spPr>
            <a:ln w="28575" cap="rnd">
              <a:solidFill>
                <a:schemeClr val="accent1"/>
              </a:solidFill>
              <a:round/>
            </a:ln>
            <a:effectLst/>
          </c:spPr>
          <c:marker>
            <c:symbol val="none"/>
          </c:marker>
          <c:cat>
            <c:numRef>
              <c:f>Sheet2!$B$12:$B$17</c:f>
              <c:numCache>
                <c:formatCode>General</c:formatCode>
                <c:ptCount val="6"/>
                <c:pt idx="0">
                  <c:v>2019</c:v>
                </c:pt>
                <c:pt idx="1">
                  <c:v>2020</c:v>
                </c:pt>
                <c:pt idx="2">
                  <c:v>2021</c:v>
                </c:pt>
                <c:pt idx="3">
                  <c:v>2022</c:v>
                </c:pt>
                <c:pt idx="4">
                  <c:v>2023</c:v>
                </c:pt>
                <c:pt idx="5">
                  <c:v>2024</c:v>
                </c:pt>
              </c:numCache>
            </c:numRef>
          </c:cat>
          <c:val>
            <c:numRef>
              <c:f>Sheet2!$C$12:$C$17</c:f>
              <c:numCache>
                <c:formatCode>General</c:formatCode>
                <c:ptCount val="6"/>
                <c:pt idx="0">
                  <c:v>0.53300000000000003</c:v>
                </c:pt>
                <c:pt idx="1">
                  <c:v>0.374</c:v>
                </c:pt>
                <c:pt idx="2">
                  <c:v>0.26500000000000001</c:v>
                </c:pt>
                <c:pt idx="3">
                  <c:v>0.185</c:v>
                </c:pt>
                <c:pt idx="4">
                  <c:v>0.13600000000000001</c:v>
                </c:pt>
                <c:pt idx="5">
                  <c:v>0.108</c:v>
                </c:pt>
              </c:numCache>
            </c:numRef>
          </c:val>
          <c:smooth val="0"/>
          <c:extLst>
            <c:ext xmlns:c16="http://schemas.microsoft.com/office/drawing/2014/chart" uri="{C3380CC4-5D6E-409C-BE32-E72D297353CC}">
              <c16:uniqueId val="{00000000-7A35-4841-B07A-137BE7D044BA}"/>
            </c:ext>
          </c:extLst>
        </c:ser>
        <c:dLbls>
          <c:showLegendKey val="0"/>
          <c:showVal val="0"/>
          <c:showCatName val="0"/>
          <c:showSerName val="0"/>
          <c:showPercent val="0"/>
          <c:showBubbleSize val="0"/>
        </c:dLbls>
        <c:smooth val="0"/>
        <c:axId val="1432756399"/>
        <c:axId val="1432758319"/>
      </c:lineChart>
      <c:catAx>
        <c:axId val="143275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8319"/>
        <c:crosses val="autoZero"/>
        <c:auto val="1"/>
        <c:lblAlgn val="ctr"/>
        <c:lblOffset val="100"/>
        <c:noMultiLvlLbl val="0"/>
      </c:catAx>
      <c:valAx>
        <c:axId val="1432758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6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Sheet1!$Q$5</c:f>
              <c:strCache>
                <c:ptCount val="1"/>
                <c:pt idx="0">
                  <c:v>CAPITAL ADEQUACY RATIO</c:v>
                </c:pt>
              </c:strCache>
            </c:strRef>
          </c:tx>
          <c:spPr>
            <a:ln w="28575" cap="rnd">
              <a:solidFill>
                <a:schemeClr val="accent1"/>
              </a:solidFill>
              <a:round/>
            </a:ln>
            <a:effectLst/>
          </c:spPr>
          <c:marker>
            <c:symbol val="none"/>
          </c:marker>
          <c:cat>
            <c:numRef>
              <c:f>Sheet1!$P$6:$P$11</c:f>
              <c:numCache>
                <c:formatCode>General</c:formatCode>
                <c:ptCount val="6"/>
                <c:pt idx="0">
                  <c:v>2019</c:v>
                </c:pt>
                <c:pt idx="1">
                  <c:v>2020</c:v>
                </c:pt>
                <c:pt idx="2">
                  <c:v>2021</c:v>
                </c:pt>
                <c:pt idx="3">
                  <c:v>2022</c:v>
                </c:pt>
                <c:pt idx="4">
                  <c:v>2023</c:v>
                </c:pt>
                <c:pt idx="5">
                  <c:v>2024</c:v>
                </c:pt>
              </c:numCache>
            </c:numRef>
          </c:cat>
          <c:val>
            <c:numRef>
              <c:f>Sheet1!$Q$6:$Q$11</c:f>
              <c:numCache>
                <c:formatCode>0.00%</c:formatCode>
                <c:ptCount val="6"/>
                <c:pt idx="0">
                  <c:v>0.17100000000000001</c:v>
                </c:pt>
                <c:pt idx="1">
                  <c:v>0.185</c:v>
                </c:pt>
                <c:pt idx="2">
                  <c:v>0.193</c:v>
                </c:pt>
                <c:pt idx="3">
                  <c:v>0.189</c:v>
                </c:pt>
                <c:pt idx="4">
                  <c:v>0.193</c:v>
                </c:pt>
                <c:pt idx="5">
                  <c:v>0.188</c:v>
                </c:pt>
              </c:numCache>
            </c:numRef>
          </c:val>
          <c:smooth val="0"/>
          <c:extLst>
            <c:ext xmlns:c16="http://schemas.microsoft.com/office/drawing/2014/chart" uri="{C3380CC4-5D6E-409C-BE32-E72D297353CC}">
              <c16:uniqueId val="{00000000-1EE1-4D5C-9C58-40C935AF5259}"/>
            </c:ext>
          </c:extLst>
        </c:ser>
        <c:dLbls>
          <c:showLegendKey val="0"/>
          <c:showVal val="0"/>
          <c:showCatName val="0"/>
          <c:showSerName val="0"/>
          <c:showPercent val="0"/>
          <c:showBubbleSize val="0"/>
        </c:dLbls>
        <c:smooth val="0"/>
        <c:axId val="1432722799"/>
        <c:axId val="1432725199"/>
      </c:lineChart>
      <c:catAx>
        <c:axId val="143272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25199"/>
        <c:crosses val="autoZero"/>
        <c:auto val="1"/>
        <c:lblAlgn val="ctr"/>
        <c:lblOffset val="100"/>
        <c:noMultiLvlLbl val="0"/>
      </c:catAx>
      <c:valAx>
        <c:axId val="14327251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22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Movement</a:t>
            </a:r>
            <a:r>
              <a:rPr lang="en-GB" baseline="0"/>
              <a:t> of Gross and Net NPA of HDFC Bank</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Sheet1!$G$2</c:f>
              <c:strCache>
                <c:ptCount val="1"/>
                <c:pt idx="0">
                  <c:v>Gross NPA</c:v>
                </c:pt>
              </c:strCache>
            </c:strRef>
          </c:tx>
          <c:spPr>
            <a:solidFill>
              <a:schemeClr val="accent1"/>
            </a:solidFill>
            <a:ln>
              <a:noFill/>
            </a:ln>
            <a:effectLst/>
          </c:spPr>
          <c:invertIfNegative val="0"/>
          <c:val>
            <c:numRef>
              <c:f>Sheet1!$G$3:$G$8</c:f>
              <c:numCache>
                <c:formatCode>#,##0.00</c:formatCode>
                <c:ptCount val="6"/>
                <c:pt idx="0">
                  <c:v>8091.74</c:v>
                </c:pt>
                <c:pt idx="1">
                  <c:v>7500</c:v>
                </c:pt>
                <c:pt idx="2">
                  <c:v>6800</c:v>
                </c:pt>
                <c:pt idx="3">
                  <c:v>6200</c:v>
                </c:pt>
                <c:pt idx="4">
                  <c:v>5800</c:v>
                </c:pt>
                <c:pt idx="5">
                  <c:v>5500</c:v>
                </c:pt>
              </c:numCache>
            </c:numRef>
          </c:val>
          <c:extLst>
            <c:ext xmlns:c16="http://schemas.microsoft.com/office/drawing/2014/chart" uri="{C3380CC4-5D6E-409C-BE32-E72D297353CC}">
              <c16:uniqueId val="{00000000-11D6-41F0-91EA-95178E5DB9B7}"/>
            </c:ext>
          </c:extLst>
        </c:ser>
        <c:ser>
          <c:idx val="1"/>
          <c:order val="1"/>
          <c:tx>
            <c:strRef>
              <c:f>Sheet1!$H$2</c:f>
              <c:strCache>
                <c:ptCount val="1"/>
                <c:pt idx="0">
                  <c:v>Net NPA</c:v>
                </c:pt>
              </c:strCache>
            </c:strRef>
          </c:tx>
          <c:spPr>
            <a:solidFill>
              <a:schemeClr val="accent2"/>
            </a:solidFill>
            <a:ln>
              <a:noFill/>
            </a:ln>
            <a:effectLst/>
          </c:spPr>
          <c:invertIfNegative val="0"/>
          <c:val>
            <c:numRef>
              <c:f>Sheet1!$H$3:$H$8</c:f>
              <c:numCache>
                <c:formatCode>#,##0.00</c:formatCode>
                <c:ptCount val="6"/>
                <c:pt idx="0">
                  <c:v>4368.43</c:v>
                </c:pt>
                <c:pt idx="1">
                  <c:v>3500</c:v>
                </c:pt>
                <c:pt idx="2">
                  <c:v>3000</c:v>
                </c:pt>
                <c:pt idx="3">
                  <c:v>2500</c:v>
                </c:pt>
                <c:pt idx="4">
                  <c:v>2200</c:v>
                </c:pt>
                <c:pt idx="5">
                  <c:v>2000</c:v>
                </c:pt>
              </c:numCache>
            </c:numRef>
          </c:val>
          <c:extLst>
            <c:ext xmlns:c16="http://schemas.microsoft.com/office/drawing/2014/chart" uri="{C3380CC4-5D6E-409C-BE32-E72D297353CC}">
              <c16:uniqueId val="{00000001-11D6-41F0-91EA-95178E5DB9B7}"/>
            </c:ext>
          </c:extLst>
        </c:ser>
        <c:dLbls>
          <c:showLegendKey val="0"/>
          <c:showVal val="0"/>
          <c:showCatName val="0"/>
          <c:showSerName val="0"/>
          <c:showPercent val="0"/>
          <c:showBubbleSize val="0"/>
        </c:dLbls>
        <c:gapWidth val="219"/>
        <c:overlap val="-27"/>
        <c:axId val="1338706751"/>
        <c:axId val="1338713471"/>
      </c:barChart>
      <c:catAx>
        <c:axId val="13387067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2019                     2020               2021              2022              2023                 2024</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713471"/>
        <c:crosses val="autoZero"/>
        <c:auto val="1"/>
        <c:lblAlgn val="ctr"/>
        <c:lblOffset val="100"/>
        <c:noMultiLvlLbl val="0"/>
      </c:catAx>
      <c:valAx>
        <c:axId val="1338713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Gross</a:t>
                </a:r>
                <a:r>
                  <a:rPr lang="en-GB" baseline="0"/>
                  <a:t> NPA and Net NPA</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70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GROSS NPA RATIO OF FEDERAL BANK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Sheet2!$Q$8</c:f>
              <c:strCache>
                <c:ptCount val="1"/>
                <c:pt idx="0">
                  <c:v>GROSS NPA RATIO (%)</c:v>
                </c:pt>
              </c:strCache>
            </c:strRef>
          </c:tx>
          <c:spPr>
            <a:ln w="28575" cap="rnd">
              <a:solidFill>
                <a:schemeClr val="accent1"/>
              </a:solidFill>
              <a:round/>
            </a:ln>
            <a:effectLst/>
          </c:spPr>
          <c:marker>
            <c:symbol val="none"/>
          </c:marker>
          <c:cat>
            <c:numRef>
              <c:f>Sheet2!$P$9:$P$14</c:f>
              <c:numCache>
                <c:formatCode>General</c:formatCode>
                <c:ptCount val="6"/>
                <c:pt idx="0">
                  <c:v>2019</c:v>
                </c:pt>
                <c:pt idx="1">
                  <c:v>2020</c:v>
                </c:pt>
                <c:pt idx="2">
                  <c:v>2021</c:v>
                </c:pt>
                <c:pt idx="3">
                  <c:v>2022</c:v>
                </c:pt>
                <c:pt idx="4">
                  <c:v>2023</c:v>
                </c:pt>
                <c:pt idx="5">
                  <c:v>2024</c:v>
                </c:pt>
              </c:numCache>
            </c:numRef>
          </c:cat>
          <c:val>
            <c:numRef>
              <c:f>Sheet2!$Q$9:$Q$14</c:f>
              <c:numCache>
                <c:formatCode>General</c:formatCode>
                <c:ptCount val="6"/>
                <c:pt idx="0">
                  <c:v>3.15</c:v>
                </c:pt>
                <c:pt idx="1">
                  <c:v>3.72</c:v>
                </c:pt>
                <c:pt idx="2">
                  <c:v>3.07</c:v>
                </c:pt>
                <c:pt idx="3">
                  <c:v>2.73</c:v>
                </c:pt>
                <c:pt idx="4">
                  <c:v>2.6</c:v>
                </c:pt>
                <c:pt idx="5">
                  <c:v>2.16</c:v>
                </c:pt>
              </c:numCache>
            </c:numRef>
          </c:val>
          <c:smooth val="0"/>
          <c:extLst>
            <c:ext xmlns:c16="http://schemas.microsoft.com/office/drawing/2014/chart" uri="{C3380CC4-5D6E-409C-BE32-E72D297353CC}">
              <c16:uniqueId val="{00000000-4A21-4A0A-8A5E-081F9B1EDE74}"/>
            </c:ext>
          </c:extLst>
        </c:ser>
        <c:dLbls>
          <c:showLegendKey val="0"/>
          <c:showVal val="0"/>
          <c:showCatName val="0"/>
          <c:showSerName val="0"/>
          <c:showPercent val="0"/>
          <c:showBubbleSize val="0"/>
        </c:dLbls>
        <c:smooth val="0"/>
        <c:axId val="1432766959"/>
        <c:axId val="1432753519"/>
      </c:lineChart>
      <c:catAx>
        <c:axId val="143276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3519"/>
        <c:crosses val="autoZero"/>
        <c:auto val="1"/>
        <c:lblAlgn val="ctr"/>
        <c:lblOffset val="100"/>
        <c:noMultiLvlLbl val="0"/>
      </c:catAx>
      <c:valAx>
        <c:axId val="1432753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66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CAPITAL ADEQUACY RATIO OF FEDERAL BANK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Sheet1!$M$2</c:f>
              <c:strCache>
                <c:ptCount val="1"/>
                <c:pt idx="0">
                  <c:v>CAPITAL ADEQUACY RATIO</c:v>
                </c:pt>
              </c:strCache>
            </c:strRef>
          </c:tx>
          <c:spPr>
            <a:ln w="28575" cap="rnd">
              <a:solidFill>
                <a:schemeClr val="accent1"/>
              </a:solidFill>
              <a:round/>
            </a:ln>
            <a:effectLst/>
          </c:spPr>
          <c:marker>
            <c:symbol val="none"/>
          </c:marker>
          <c:cat>
            <c:numRef>
              <c:f>Sheet1!$L$3:$L$8</c:f>
              <c:numCache>
                <c:formatCode>General</c:formatCode>
                <c:ptCount val="6"/>
                <c:pt idx="0">
                  <c:v>2019</c:v>
                </c:pt>
                <c:pt idx="1">
                  <c:v>2020</c:v>
                </c:pt>
                <c:pt idx="2">
                  <c:v>2021</c:v>
                </c:pt>
                <c:pt idx="3">
                  <c:v>2022</c:v>
                </c:pt>
                <c:pt idx="4">
                  <c:v>2023</c:v>
                </c:pt>
                <c:pt idx="5">
                  <c:v>2024</c:v>
                </c:pt>
              </c:numCache>
            </c:numRef>
          </c:cat>
          <c:val>
            <c:numRef>
              <c:f>Sheet1!$M$3:$M$8</c:f>
              <c:numCache>
                <c:formatCode>0.00%</c:formatCode>
                <c:ptCount val="6"/>
                <c:pt idx="0">
                  <c:v>0.1414</c:v>
                </c:pt>
                <c:pt idx="1">
                  <c:v>0.14349999999999999</c:v>
                </c:pt>
                <c:pt idx="2">
                  <c:v>0.1462</c:v>
                </c:pt>
                <c:pt idx="3">
                  <c:v>0.15770000000000001</c:v>
                </c:pt>
                <c:pt idx="4">
                  <c:v>0.14810000000000001</c:v>
                </c:pt>
                <c:pt idx="5">
                  <c:v>0.1613</c:v>
                </c:pt>
              </c:numCache>
            </c:numRef>
          </c:val>
          <c:smooth val="0"/>
          <c:extLst>
            <c:ext xmlns:c16="http://schemas.microsoft.com/office/drawing/2014/chart" uri="{C3380CC4-5D6E-409C-BE32-E72D297353CC}">
              <c16:uniqueId val="{00000000-FA76-4010-9EE7-3EAE5AB0439A}"/>
            </c:ext>
          </c:extLst>
        </c:ser>
        <c:dLbls>
          <c:showLegendKey val="0"/>
          <c:showVal val="0"/>
          <c:showCatName val="0"/>
          <c:showSerName val="0"/>
          <c:showPercent val="0"/>
          <c:showBubbleSize val="0"/>
        </c:dLbls>
        <c:smooth val="0"/>
        <c:axId val="1432761679"/>
        <c:axId val="1432751599"/>
      </c:lineChart>
      <c:catAx>
        <c:axId val="1432761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1599"/>
        <c:crosses val="autoZero"/>
        <c:auto val="1"/>
        <c:lblAlgn val="ctr"/>
        <c:lblOffset val="100"/>
        <c:noMultiLvlLbl val="0"/>
      </c:catAx>
      <c:valAx>
        <c:axId val="14327515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61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Movement</a:t>
            </a:r>
            <a:r>
              <a:rPr lang="en-US" sz="1200" baseline="0"/>
              <a:t> of Gross NPA and Net NPA of Federal Bank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GROSS NPA</c:v>
                </c:pt>
              </c:strCache>
            </c:strRef>
          </c:tx>
          <c:spPr>
            <a:solidFill>
              <a:schemeClr val="accent1"/>
            </a:solidFill>
            <a:ln>
              <a:noFill/>
            </a:ln>
            <a:effectLst/>
          </c:spPr>
          <c:invertIfNegative val="0"/>
          <c:val>
            <c:numRef>
              <c:f>Sheet1!$B$2:$B$7</c:f>
              <c:numCache>
                <c:formatCode>#,##0.00</c:formatCode>
                <c:ptCount val="6"/>
                <c:pt idx="0">
                  <c:v>3530.83</c:v>
                </c:pt>
                <c:pt idx="1">
                  <c:v>4602.3900000000003</c:v>
                </c:pt>
                <c:pt idx="2">
                  <c:v>4136.74</c:v>
                </c:pt>
                <c:pt idx="3">
                  <c:v>4183.7700000000004</c:v>
                </c:pt>
                <c:pt idx="4">
                  <c:v>4528.87</c:v>
                </c:pt>
                <c:pt idx="5">
                  <c:v>4529</c:v>
                </c:pt>
              </c:numCache>
            </c:numRef>
          </c:val>
          <c:extLst>
            <c:ext xmlns:c16="http://schemas.microsoft.com/office/drawing/2014/chart" uri="{C3380CC4-5D6E-409C-BE32-E72D297353CC}">
              <c16:uniqueId val="{00000000-0BFA-4EEC-9B5E-82935CB37DCF}"/>
            </c:ext>
          </c:extLst>
        </c:ser>
        <c:ser>
          <c:idx val="1"/>
          <c:order val="1"/>
          <c:tx>
            <c:strRef>
              <c:f>Sheet1!$C$1</c:f>
              <c:strCache>
                <c:ptCount val="1"/>
                <c:pt idx="0">
                  <c:v>NET NPA</c:v>
                </c:pt>
              </c:strCache>
            </c:strRef>
          </c:tx>
          <c:spPr>
            <a:solidFill>
              <a:schemeClr val="accent2"/>
            </a:solidFill>
            <a:ln>
              <a:noFill/>
            </a:ln>
            <a:effectLst/>
          </c:spPr>
          <c:invertIfNegative val="0"/>
          <c:val>
            <c:numRef>
              <c:f>Sheet1!$C$2:$C$7</c:f>
              <c:numCache>
                <c:formatCode>#,##0.00</c:formatCode>
                <c:ptCount val="6"/>
                <c:pt idx="0">
                  <c:v>1607.17</c:v>
                </c:pt>
                <c:pt idx="1">
                  <c:v>1569.28</c:v>
                </c:pt>
                <c:pt idx="2">
                  <c:v>1392.62</c:v>
                </c:pt>
                <c:pt idx="3">
                  <c:v>1205.01</c:v>
                </c:pt>
                <c:pt idx="4">
                  <c:v>1255.33</c:v>
                </c:pt>
                <c:pt idx="5">
                  <c:v>1255</c:v>
                </c:pt>
              </c:numCache>
            </c:numRef>
          </c:val>
          <c:extLst>
            <c:ext xmlns:c16="http://schemas.microsoft.com/office/drawing/2014/chart" uri="{C3380CC4-5D6E-409C-BE32-E72D297353CC}">
              <c16:uniqueId val="{00000001-0BFA-4EEC-9B5E-82935CB37DCF}"/>
            </c:ext>
          </c:extLst>
        </c:ser>
        <c:dLbls>
          <c:showLegendKey val="0"/>
          <c:showVal val="0"/>
          <c:showCatName val="0"/>
          <c:showSerName val="0"/>
          <c:showPercent val="0"/>
          <c:showBubbleSize val="0"/>
        </c:dLbls>
        <c:gapWidth val="219"/>
        <c:overlap val="-27"/>
        <c:axId val="1338745151"/>
        <c:axId val="1338748991"/>
      </c:barChart>
      <c:dateAx>
        <c:axId val="1338745151"/>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2019                     2020               2021</a:t>
                </a:r>
                <a:r>
                  <a:rPr lang="en-GB" baseline="0"/>
                  <a:t>              2022              2023                 2024</a:t>
                </a:r>
                <a:r>
                  <a:rPr lang="en-GB"/>
                  <a:t>      </a:t>
                </a:r>
                <a:r>
                  <a:rPr lang="en-GB" baseline="0"/>
                  <a:t>    </a:t>
                </a:r>
                <a:endParaRPr lang="en-GB"/>
              </a:p>
            </c:rich>
          </c:tx>
          <c:layout>
            <c:manualLayout>
              <c:xMode val="edge"/>
              <c:yMode val="edge"/>
              <c:x val="0.18184326710816778"/>
              <c:y val="0.825878109384646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1338748991"/>
        <c:crosses val="autoZero"/>
        <c:auto val="0"/>
        <c:lblOffset val="100"/>
        <c:baseTimeUnit val="days"/>
        <c:majorUnit val="1"/>
      </c:dateAx>
      <c:valAx>
        <c:axId val="1338748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Groos</a:t>
                </a:r>
                <a:r>
                  <a:rPr lang="en-GB" baseline="0"/>
                  <a:t> NPA and Net NPA </a:t>
                </a:r>
                <a:endParaRPr lang="en-GB"/>
              </a:p>
            </c:rich>
          </c:tx>
          <c:layout>
            <c:manualLayout>
              <c:xMode val="edge"/>
              <c:yMode val="edge"/>
              <c:x val="1.9315673289183224E-2"/>
              <c:y val="0.276959760099512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745151"/>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NPA Ratio of State</a:t>
            </a:r>
            <a:r>
              <a:rPr lang="en-GB" baseline="0"/>
              <a:t> Bank Of India</a:t>
            </a: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Sheet2!$K$3</c:f>
              <c:strCache>
                <c:ptCount val="1"/>
                <c:pt idx="0">
                  <c:v>NPA Ratio (%)</c:v>
                </c:pt>
              </c:strCache>
            </c:strRef>
          </c:tx>
          <c:spPr>
            <a:ln w="28575" cap="rnd">
              <a:solidFill>
                <a:schemeClr val="accent1"/>
              </a:solidFill>
              <a:round/>
            </a:ln>
            <a:effectLst/>
          </c:spPr>
          <c:marker>
            <c:symbol val="none"/>
          </c:marker>
          <c:cat>
            <c:numRef>
              <c:f>Sheet2!$J$4:$J$10</c:f>
              <c:numCache>
                <c:formatCode>General</c:formatCode>
                <c:ptCount val="7"/>
                <c:pt idx="0">
                  <c:v>2019</c:v>
                </c:pt>
                <c:pt idx="1">
                  <c:v>2020</c:v>
                </c:pt>
                <c:pt idx="2">
                  <c:v>2021</c:v>
                </c:pt>
                <c:pt idx="3">
                  <c:v>2022</c:v>
                </c:pt>
                <c:pt idx="4">
                  <c:v>2023</c:v>
                </c:pt>
                <c:pt idx="5">
                  <c:v>2024</c:v>
                </c:pt>
              </c:numCache>
            </c:numRef>
          </c:cat>
          <c:val>
            <c:numRef>
              <c:f>Sheet2!$K$4:$K$10</c:f>
              <c:numCache>
                <c:formatCode>General</c:formatCode>
                <c:ptCount val="7"/>
                <c:pt idx="0">
                  <c:v>2.87</c:v>
                </c:pt>
                <c:pt idx="1">
                  <c:v>2.23</c:v>
                </c:pt>
                <c:pt idx="2">
                  <c:v>1.5</c:v>
                </c:pt>
                <c:pt idx="3">
                  <c:v>1.02</c:v>
                </c:pt>
                <c:pt idx="4">
                  <c:v>0.71</c:v>
                </c:pt>
                <c:pt idx="5">
                  <c:v>0.64</c:v>
                </c:pt>
              </c:numCache>
            </c:numRef>
          </c:val>
          <c:smooth val="0"/>
          <c:extLst>
            <c:ext xmlns:c16="http://schemas.microsoft.com/office/drawing/2014/chart" uri="{C3380CC4-5D6E-409C-BE32-E72D297353CC}">
              <c16:uniqueId val="{00000000-F803-44F9-BFF0-53BB4B808325}"/>
            </c:ext>
          </c:extLst>
        </c:ser>
        <c:dLbls>
          <c:showLegendKey val="0"/>
          <c:showVal val="0"/>
          <c:showCatName val="0"/>
          <c:showSerName val="0"/>
          <c:showPercent val="0"/>
          <c:showBubbleSize val="0"/>
        </c:dLbls>
        <c:smooth val="0"/>
        <c:axId val="1432759279"/>
        <c:axId val="1432746319"/>
      </c:lineChart>
      <c:catAx>
        <c:axId val="1432759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46319"/>
        <c:crosses val="autoZero"/>
        <c:auto val="1"/>
        <c:lblAlgn val="ctr"/>
        <c:lblOffset val="100"/>
        <c:noMultiLvlLbl val="0"/>
      </c:catAx>
      <c:valAx>
        <c:axId val="1432746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9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GPA Ratio State Bank of</a:t>
            </a:r>
            <a:r>
              <a:rPr lang="en-GB" baseline="0"/>
              <a:t> India</a:t>
            </a: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Sheet2!$G$3</c:f>
              <c:strCache>
                <c:ptCount val="1"/>
                <c:pt idx="0">
                  <c:v>GPA Ratio (%)</c:v>
                </c:pt>
              </c:strCache>
            </c:strRef>
          </c:tx>
          <c:spPr>
            <a:ln w="28575" cap="rnd">
              <a:solidFill>
                <a:schemeClr val="accent1"/>
              </a:solidFill>
              <a:round/>
            </a:ln>
            <a:effectLst/>
          </c:spPr>
          <c:marker>
            <c:symbol val="none"/>
          </c:marker>
          <c:cat>
            <c:numRef>
              <c:f>Sheet2!$F$4:$F$9</c:f>
              <c:numCache>
                <c:formatCode>General</c:formatCode>
                <c:ptCount val="6"/>
                <c:pt idx="0">
                  <c:v>2019</c:v>
                </c:pt>
                <c:pt idx="1">
                  <c:v>2020</c:v>
                </c:pt>
                <c:pt idx="2">
                  <c:v>2021</c:v>
                </c:pt>
                <c:pt idx="3">
                  <c:v>2022</c:v>
                </c:pt>
                <c:pt idx="4">
                  <c:v>2023</c:v>
                </c:pt>
                <c:pt idx="5">
                  <c:v>2024</c:v>
                </c:pt>
              </c:numCache>
            </c:numRef>
          </c:cat>
          <c:val>
            <c:numRef>
              <c:f>Sheet2!$G$4:$G$9</c:f>
              <c:numCache>
                <c:formatCode>General</c:formatCode>
                <c:ptCount val="6"/>
                <c:pt idx="0">
                  <c:v>7.53</c:v>
                </c:pt>
                <c:pt idx="1">
                  <c:v>6.41</c:v>
                </c:pt>
                <c:pt idx="2">
                  <c:v>5.16</c:v>
                </c:pt>
                <c:pt idx="3">
                  <c:v>4.0999999999999996</c:v>
                </c:pt>
                <c:pt idx="4">
                  <c:v>3</c:v>
                </c:pt>
                <c:pt idx="5">
                  <c:v>2.5499999999999998</c:v>
                </c:pt>
              </c:numCache>
            </c:numRef>
          </c:val>
          <c:smooth val="0"/>
          <c:extLst>
            <c:ext xmlns:c16="http://schemas.microsoft.com/office/drawing/2014/chart" uri="{C3380CC4-5D6E-409C-BE32-E72D297353CC}">
              <c16:uniqueId val="{00000000-07EF-44F5-8612-403A618336EE}"/>
            </c:ext>
          </c:extLst>
        </c:ser>
        <c:dLbls>
          <c:showLegendKey val="0"/>
          <c:showVal val="0"/>
          <c:showCatName val="0"/>
          <c:showSerName val="0"/>
          <c:showPercent val="0"/>
          <c:showBubbleSize val="0"/>
        </c:dLbls>
        <c:smooth val="0"/>
        <c:axId val="1432759759"/>
        <c:axId val="1432763119"/>
      </c:lineChart>
      <c:catAx>
        <c:axId val="143275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63119"/>
        <c:crosses val="autoZero"/>
        <c:auto val="1"/>
        <c:lblAlgn val="ctr"/>
        <c:lblOffset val="100"/>
        <c:noMultiLvlLbl val="0"/>
      </c:catAx>
      <c:valAx>
        <c:axId val="1432763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9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76159230096239"/>
          <c:y val="0.13930555555555557"/>
          <c:w val="0.85212729658792652"/>
          <c:h val="0.72125801983085447"/>
        </c:manualLayout>
      </c:layout>
      <c:lineChart>
        <c:grouping val="standard"/>
        <c:varyColors val="0"/>
        <c:ser>
          <c:idx val="0"/>
          <c:order val="0"/>
          <c:tx>
            <c:strRef>
              <c:f>Sheet1!$Q$17</c:f>
              <c:strCache>
                <c:ptCount val="1"/>
                <c:pt idx="0">
                  <c:v>CAPITAL ADEQUACY RATIO</c:v>
                </c:pt>
              </c:strCache>
            </c:strRef>
          </c:tx>
          <c:spPr>
            <a:ln w="28575" cap="rnd">
              <a:solidFill>
                <a:schemeClr val="accent1"/>
              </a:solidFill>
              <a:round/>
            </a:ln>
            <a:effectLst/>
          </c:spPr>
          <c:marker>
            <c:symbol val="none"/>
          </c:marker>
          <c:cat>
            <c:numRef>
              <c:f>Sheet1!$P$18:$P$23</c:f>
              <c:numCache>
                <c:formatCode>General</c:formatCode>
                <c:ptCount val="6"/>
                <c:pt idx="0">
                  <c:v>2019</c:v>
                </c:pt>
                <c:pt idx="1">
                  <c:v>2020</c:v>
                </c:pt>
                <c:pt idx="2">
                  <c:v>2021</c:v>
                </c:pt>
                <c:pt idx="3">
                  <c:v>2022</c:v>
                </c:pt>
                <c:pt idx="4">
                  <c:v>2023</c:v>
                </c:pt>
                <c:pt idx="5">
                  <c:v>2024</c:v>
                </c:pt>
              </c:numCache>
            </c:numRef>
          </c:cat>
          <c:val>
            <c:numRef>
              <c:f>Sheet1!$Q$18:$Q$23</c:f>
              <c:numCache>
                <c:formatCode>0.00%</c:formatCode>
                <c:ptCount val="6"/>
                <c:pt idx="0">
                  <c:v>0.12720000000000001</c:v>
                </c:pt>
                <c:pt idx="1">
                  <c:v>0.13059999999999999</c:v>
                </c:pt>
                <c:pt idx="2">
                  <c:v>0.13739999999999999</c:v>
                </c:pt>
                <c:pt idx="3">
                  <c:v>0.13830000000000001</c:v>
                </c:pt>
                <c:pt idx="4">
                  <c:v>0.14680000000000001</c:v>
                </c:pt>
                <c:pt idx="5">
                  <c:v>0.14280000000000001</c:v>
                </c:pt>
              </c:numCache>
            </c:numRef>
          </c:val>
          <c:smooth val="0"/>
          <c:extLst>
            <c:ext xmlns:c16="http://schemas.microsoft.com/office/drawing/2014/chart" uri="{C3380CC4-5D6E-409C-BE32-E72D297353CC}">
              <c16:uniqueId val="{00000000-0406-4983-9B7E-B7CD27526AC2}"/>
            </c:ext>
          </c:extLst>
        </c:ser>
        <c:dLbls>
          <c:showLegendKey val="0"/>
          <c:showVal val="0"/>
          <c:showCatName val="0"/>
          <c:showSerName val="0"/>
          <c:showPercent val="0"/>
          <c:showBubbleSize val="0"/>
        </c:dLbls>
        <c:smooth val="0"/>
        <c:axId val="1432750639"/>
        <c:axId val="1432751119"/>
      </c:lineChart>
      <c:catAx>
        <c:axId val="143275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1119"/>
        <c:crosses val="autoZero"/>
        <c:auto val="1"/>
        <c:lblAlgn val="ctr"/>
        <c:lblOffset val="100"/>
        <c:noMultiLvlLbl val="0"/>
      </c:catAx>
      <c:valAx>
        <c:axId val="14327511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50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 Movement of Gross NPA and Net NPA</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Sheet1!$C$14</c:f>
              <c:strCache>
                <c:ptCount val="1"/>
                <c:pt idx="0">
                  <c:v>Gross NPA</c:v>
                </c:pt>
              </c:strCache>
            </c:strRef>
          </c:tx>
          <c:spPr>
            <a:solidFill>
              <a:schemeClr val="accent1"/>
            </a:solidFill>
            <a:ln>
              <a:noFill/>
            </a:ln>
            <a:effectLst/>
          </c:spPr>
          <c:invertIfNegative val="0"/>
          <c:val>
            <c:numRef>
              <c:f>Sheet1!$C$15:$C$20</c:f>
              <c:numCache>
                <c:formatCode>#,##0.00</c:formatCode>
                <c:ptCount val="6"/>
                <c:pt idx="0">
                  <c:v>172750</c:v>
                </c:pt>
                <c:pt idx="1">
                  <c:v>149092</c:v>
                </c:pt>
                <c:pt idx="2">
                  <c:v>126389</c:v>
                </c:pt>
                <c:pt idx="3">
                  <c:v>112023</c:v>
                </c:pt>
                <c:pt idx="4">
                  <c:v>90928</c:v>
                </c:pt>
                <c:pt idx="5">
                  <c:v>84276</c:v>
                </c:pt>
              </c:numCache>
            </c:numRef>
          </c:val>
          <c:extLst>
            <c:ext xmlns:c16="http://schemas.microsoft.com/office/drawing/2014/chart" uri="{C3380CC4-5D6E-409C-BE32-E72D297353CC}">
              <c16:uniqueId val="{00000000-4A18-40A3-B2A0-377D559E8AFE}"/>
            </c:ext>
          </c:extLst>
        </c:ser>
        <c:ser>
          <c:idx val="1"/>
          <c:order val="1"/>
          <c:tx>
            <c:strRef>
              <c:f>Sheet1!$D$14</c:f>
              <c:strCache>
                <c:ptCount val="1"/>
                <c:pt idx="0">
                  <c:v>Net NPA</c:v>
                </c:pt>
              </c:strCache>
            </c:strRef>
          </c:tx>
          <c:spPr>
            <a:solidFill>
              <a:schemeClr val="accent2"/>
            </a:solidFill>
            <a:ln>
              <a:noFill/>
            </a:ln>
            <a:effectLst/>
          </c:spPr>
          <c:invertIfNegative val="0"/>
          <c:val>
            <c:numRef>
              <c:f>Sheet1!$D$15:$D$20</c:f>
              <c:numCache>
                <c:formatCode>#,##0.00</c:formatCode>
                <c:ptCount val="6"/>
                <c:pt idx="0">
                  <c:v>65895</c:v>
                </c:pt>
                <c:pt idx="1">
                  <c:v>51871</c:v>
                </c:pt>
                <c:pt idx="2">
                  <c:v>36810</c:v>
                </c:pt>
                <c:pt idx="3">
                  <c:v>27965</c:v>
                </c:pt>
                <c:pt idx="4">
                  <c:v>21467</c:v>
                </c:pt>
                <c:pt idx="5">
                  <c:v>21051</c:v>
                </c:pt>
              </c:numCache>
            </c:numRef>
          </c:val>
          <c:extLst>
            <c:ext xmlns:c16="http://schemas.microsoft.com/office/drawing/2014/chart" uri="{C3380CC4-5D6E-409C-BE32-E72D297353CC}">
              <c16:uniqueId val="{00000001-4A18-40A3-B2A0-377D559E8AFE}"/>
            </c:ext>
          </c:extLst>
        </c:ser>
        <c:dLbls>
          <c:showLegendKey val="0"/>
          <c:showVal val="0"/>
          <c:showCatName val="0"/>
          <c:showSerName val="0"/>
          <c:showPercent val="0"/>
          <c:showBubbleSize val="0"/>
        </c:dLbls>
        <c:gapWidth val="219"/>
        <c:overlap val="-27"/>
        <c:axId val="1338710591"/>
        <c:axId val="1338714911"/>
      </c:barChart>
      <c:catAx>
        <c:axId val="1338710591"/>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2019                     2020               2021              2022              2023                 2024</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1338714911"/>
        <c:crosses val="autoZero"/>
        <c:auto val="1"/>
        <c:lblAlgn val="ctr"/>
        <c:lblOffset val="100"/>
        <c:noMultiLvlLbl val="0"/>
      </c:catAx>
      <c:valAx>
        <c:axId val="1338714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Gross</a:t>
                </a:r>
                <a:r>
                  <a:rPr lang="en-GB" baseline="0"/>
                  <a:t> NPA and Net NPA</a:t>
                </a:r>
              </a:p>
              <a:p>
                <a:pPr>
                  <a:defRPr/>
                </a:pP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71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GPA Ratio of</a:t>
            </a:r>
            <a:r>
              <a:rPr lang="en-GB" baseline="0"/>
              <a:t> HDFC Bank </a:t>
            </a: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GPA Ratio (%)</c:v>
                </c:pt>
              </c:strCache>
            </c:strRef>
          </c:tx>
          <c:spPr>
            <a:ln w="28575" cap="rnd">
              <a:solidFill>
                <a:schemeClr val="accent1"/>
              </a:solidFill>
              <a:round/>
            </a:ln>
            <a:effectLst/>
          </c:spPr>
          <c:marker>
            <c:symbol val="none"/>
          </c:marker>
          <c:cat>
            <c:numRef>
              <c:f>Sheet2!$A$2:$A$7</c:f>
              <c:numCache>
                <c:formatCode>General</c:formatCode>
                <c:ptCount val="6"/>
                <c:pt idx="0">
                  <c:v>2019</c:v>
                </c:pt>
                <c:pt idx="1">
                  <c:v>2020</c:v>
                </c:pt>
                <c:pt idx="2">
                  <c:v>2021</c:v>
                </c:pt>
                <c:pt idx="3">
                  <c:v>2022</c:v>
                </c:pt>
                <c:pt idx="4">
                  <c:v>2023</c:v>
                </c:pt>
                <c:pt idx="5">
                  <c:v>2024</c:v>
                </c:pt>
              </c:numCache>
            </c:numRef>
          </c:cat>
          <c:val>
            <c:numRef>
              <c:f>Sheet2!$B$2:$B$7</c:f>
              <c:numCache>
                <c:formatCode>General</c:formatCode>
                <c:ptCount val="6"/>
                <c:pt idx="0">
                  <c:v>0.99</c:v>
                </c:pt>
                <c:pt idx="1">
                  <c:v>0.8</c:v>
                </c:pt>
                <c:pt idx="2">
                  <c:v>0.6</c:v>
                </c:pt>
                <c:pt idx="3">
                  <c:v>0.46</c:v>
                </c:pt>
                <c:pt idx="4">
                  <c:v>0.36</c:v>
                </c:pt>
                <c:pt idx="5">
                  <c:v>0.3</c:v>
                </c:pt>
              </c:numCache>
            </c:numRef>
          </c:val>
          <c:smooth val="0"/>
          <c:extLst>
            <c:ext xmlns:c16="http://schemas.microsoft.com/office/drawing/2014/chart" uri="{C3380CC4-5D6E-409C-BE32-E72D297353CC}">
              <c16:uniqueId val="{00000000-F6D6-44EC-BD1F-33842E736B94}"/>
            </c:ext>
          </c:extLst>
        </c:ser>
        <c:dLbls>
          <c:showLegendKey val="0"/>
          <c:showVal val="0"/>
          <c:showCatName val="0"/>
          <c:showSerName val="0"/>
          <c:showPercent val="0"/>
          <c:showBubbleSize val="0"/>
        </c:dLbls>
        <c:smooth val="0"/>
        <c:axId val="1432762639"/>
        <c:axId val="1432761199"/>
      </c:lineChart>
      <c:catAx>
        <c:axId val="143276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61199"/>
        <c:crosses val="autoZero"/>
        <c:auto val="1"/>
        <c:lblAlgn val="ctr"/>
        <c:lblOffset val="100"/>
        <c:noMultiLvlLbl val="0"/>
      </c:catAx>
      <c:valAx>
        <c:axId val="143276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762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E60B-99FE-43D8-B9C0-68D63DA1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12899</Words>
  <Characters>73526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Siby George</dc:creator>
  <cp:keywords/>
  <dc:description/>
  <cp:lastModifiedBy>ACER</cp:lastModifiedBy>
  <cp:revision>2</cp:revision>
  <dcterms:created xsi:type="dcterms:W3CDTF">2025-03-17T04:43:00Z</dcterms:created>
  <dcterms:modified xsi:type="dcterms:W3CDTF">2025-03-17T04:43:00Z</dcterms:modified>
</cp:coreProperties>
</file>