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0E4" w:rsidRPr="001D00E4" w:rsidRDefault="001D00E4" w:rsidP="00227354">
      <w:pPr>
        <w:spacing w:after="159"/>
        <w:ind w:right="611"/>
        <w:jc w:val="center"/>
        <w:rPr>
          <w:rFonts w:eastAsia="Times New Roman"/>
          <w:b/>
          <w:color w:val="000000"/>
          <w:sz w:val="32"/>
          <w:szCs w:val="32"/>
          <w:lang w:eastAsia="en-IN"/>
        </w:rPr>
      </w:pPr>
      <w:r w:rsidRPr="001D00E4">
        <w:rPr>
          <w:rFonts w:eastAsia="Times New Roman"/>
          <w:b/>
          <w:color w:val="000000"/>
          <w:sz w:val="32"/>
          <w:szCs w:val="32"/>
          <w:lang w:eastAsia="en-IN"/>
        </w:rPr>
        <w:t>INVESTIGATING THE INTERPLAY BETWEEN SHARE PRICE PERFORMANCE,QUARTERLY FINANCIAL RESULTS AND SHAREHOLDING PATTERNS IN FMCG INDUSTRY</w:t>
      </w:r>
    </w:p>
    <w:p w:rsidR="001D00E4" w:rsidRPr="001D00E4" w:rsidRDefault="001D00E4" w:rsidP="001D00E4">
      <w:pPr>
        <w:spacing w:after="159"/>
        <w:ind w:right="611"/>
        <w:jc w:val="center"/>
        <w:rPr>
          <w:rFonts w:eastAsia="Times New Roman"/>
          <w:color w:val="000000"/>
          <w:sz w:val="32"/>
          <w:szCs w:val="22"/>
          <w:lang w:eastAsia="en-IN"/>
        </w:rPr>
      </w:pPr>
      <w:r w:rsidRPr="001D00E4">
        <w:rPr>
          <w:rFonts w:eastAsia="Times New Roman"/>
          <w:b/>
          <w:color w:val="000000"/>
          <w:sz w:val="32"/>
          <w:szCs w:val="22"/>
          <w:lang w:eastAsia="en-IN"/>
        </w:rPr>
        <w:t>Project Report</w:t>
      </w:r>
    </w:p>
    <w:p w:rsidR="001D00E4" w:rsidRPr="001D00E4" w:rsidRDefault="001D00E4" w:rsidP="001D00E4">
      <w:pPr>
        <w:spacing w:after="177"/>
        <w:ind w:left="10" w:right="611" w:hanging="10"/>
        <w:jc w:val="center"/>
        <w:rPr>
          <w:rFonts w:eastAsia="Times New Roman"/>
          <w:color w:val="000000"/>
          <w:sz w:val="32"/>
          <w:szCs w:val="22"/>
          <w:lang w:eastAsia="en-IN"/>
        </w:rPr>
      </w:pPr>
      <w:r w:rsidRPr="001D00E4">
        <w:rPr>
          <w:rFonts w:eastAsia="Times New Roman"/>
          <w:i/>
          <w:color w:val="000000"/>
          <w:sz w:val="32"/>
          <w:szCs w:val="22"/>
          <w:lang w:eastAsia="en-IN"/>
        </w:rPr>
        <w:t xml:space="preserve">Submitted by </w:t>
      </w:r>
    </w:p>
    <w:p w:rsidR="001D00E4" w:rsidRPr="001D00E4" w:rsidRDefault="001D00E4" w:rsidP="001D00E4">
      <w:pPr>
        <w:keepNext/>
        <w:keepLines/>
        <w:spacing w:after="159"/>
        <w:ind w:left="10" w:right="611" w:hanging="10"/>
        <w:jc w:val="center"/>
        <w:outlineLvl w:val="0"/>
        <w:rPr>
          <w:rFonts w:eastAsia="Times New Roman"/>
          <w:b/>
          <w:color w:val="000000"/>
          <w:sz w:val="48"/>
          <w:szCs w:val="22"/>
          <w:lang w:eastAsia="en-IN"/>
        </w:rPr>
      </w:pPr>
      <w:r>
        <w:rPr>
          <w:rFonts w:eastAsia="Times New Roman"/>
          <w:b/>
          <w:color w:val="000000"/>
          <w:sz w:val="32"/>
          <w:szCs w:val="22"/>
          <w:lang w:eastAsia="en-IN"/>
        </w:rPr>
        <w:t>HRIDYA RAJKUMAR</w:t>
      </w:r>
    </w:p>
    <w:p w:rsidR="001D00E4" w:rsidRPr="001D00E4" w:rsidRDefault="001D00E4" w:rsidP="001D00E4">
      <w:pPr>
        <w:spacing w:after="159"/>
        <w:ind w:left="10" w:right="611" w:hanging="10"/>
        <w:jc w:val="center"/>
        <w:rPr>
          <w:rFonts w:eastAsia="Times New Roman"/>
          <w:color w:val="000000"/>
          <w:sz w:val="32"/>
          <w:szCs w:val="22"/>
          <w:lang w:eastAsia="en-IN"/>
        </w:rPr>
      </w:pPr>
      <w:r w:rsidRPr="001D00E4">
        <w:rPr>
          <w:rFonts w:eastAsia="Times New Roman"/>
          <w:b/>
          <w:color w:val="000000"/>
          <w:sz w:val="32"/>
          <w:szCs w:val="22"/>
          <w:lang w:eastAsia="en-IN"/>
        </w:rPr>
        <w:t>Reg.No. AM2</w:t>
      </w:r>
      <w:r>
        <w:rPr>
          <w:rFonts w:eastAsia="Times New Roman"/>
          <w:b/>
          <w:color w:val="000000"/>
          <w:sz w:val="32"/>
          <w:szCs w:val="22"/>
          <w:lang w:eastAsia="en-IN"/>
        </w:rPr>
        <w:t>2</w:t>
      </w:r>
      <w:r w:rsidRPr="001D00E4">
        <w:rPr>
          <w:rFonts w:eastAsia="Times New Roman"/>
          <w:b/>
          <w:color w:val="000000"/>
          <w:sz w:val="32"/>
          <w:szCs w:val="22"/>
          <w:lang w:eastAsia="en-IN"/>
        </w:rPr>
        <w:t>COM0</w:t>
      </w:r>
      <w:r>
        <w:rPr>
          <w:rFonts w:eastAsia="Times New Roman"/>
          <w:b/>
          <w:color w:val="000000"/>
          <w:sz w:val="32"/>
          <w:szCs w:val="22"/>
          <w:lang w:eastAsia="en-IN"/>
        </w:rPr>
        <w:t>09</w:t>
      </w:r>
    </w:p>
    <w:p w:rsidR="001D00E4" w:rsidRPr="001D00E4" w:rsidRDefault="001D00E4" w:rsidP="001D00E4">
      <w:pPr>
        <w:spacing w:after="177"/>
        <w:ind w:left="10" w:right="611" w:hanging="10"/>
        <w:jc w:val="center"/>
        <w:rPr>
          <w:rFonts w:eastAsia="Times New Roman"/>
          <w:color w:val="000000"/>
          <w:sz w:val="32"/>
          <w:szCs w:val="22"/>
          <w:lang w:eastAsia="en-IN"/>
        </w:rPr>
      </w:pPr>
      <w:r w:rsidRPr="001D00E4">
        <w:rPr>
          <w:rFonts w:eastAsia="Times New Roman"/>
          <w:i/>
          <w:color w:val="000000"/>
          <w:sz w:val="32"/>
          <w:szCs w:val="22"/>
          <w:lang w:eastAsia="en-IN"/>
        </w:rPr>
        <w:t xml:space="preserve">Under the guidance of </w:t>
      </w:r>
    </w:p>
    <w:p w:rsidR="001D00E4" w:rsidRPr="001D00E4" w:rsidRDefault="001D00E4" w:rsidP="001D00E4">
      <w:pPr>
        <w:keepNext/>
        <w:keepLines/>
        <w:spacing w:after="159"/>
        <w:ind w:left="10" w:right="611" w:hanging="10"/>
        <w:jc w:val="center"/>
        <w:outlineLvl w:val="0"/>
        <w:rPr>
          <w:rFonts w:eastAsia="Times New Roman"/>
          <w:b/>
          <w:color w:val="000000"/>
          <w:sz w:val="48"/>
          <w:szCs w:val="22"/>
          <w:lang w:eastAsia="en-IN"/>
        </w:rPr>
      </w:pPr>
      <w:r>
        <w:rPr>
          <w:rFonts w:eastAsia="Times New Roman"/>
          <w:b/>
          <w:color w:val="000000"/>
          <w:sz w:val="32"/>
          <w:szCs w:val="22"/>
          <w:lang w:eastAsia="en-IN"/>
        </w:rPr>
        <w:t>Dr. JENCY TREESA</w:t>
      </w:r>
    </w:p>
    <w:p w:rsidR="001D00E4" w:rsidRPr="001D00E4" w:rsidRDefault="001D00E4" w:rsidP="001D00E4">
      <w:pPr>
        <w:spacing w:after="204" w:line="240" w:lineRule="auto"/>
        <w:ind w:left="3035" w:right="611" w:hanging="2521"/>
        <w:rPr>
          <w:rFonts w:eastAsia="Times New Roman"/>
          <w:color w:val="000000"/>
          <w:sz w:val="32"/>
          <w:szCs w:val="22"/>
          <w:lang w:eastAsia="en-IN"/>
        </w:rPr>
      </w:pPr>
      <w:r w:rsidRPr="001D00E4">
        <w:rPr>
          <w:rFonts w:eastAsia="Times New Roman"/>
          <w:i/>
          <w:color w:val="000000"/>
          <w:sz w:val="32"/>
          <w:szCs w:val="22"/>
          <w:lang w:eastAsia="en-IN"/>
        </w:rPr>
        <w:t>In partial fulfillment of requirements for award of the post graduate degree of</w:t>
      </w:r>
    </w:p>
    <w:p w:rsidR="001D00E4" w:rsidRPr="001D00E4" w:rsidRDefault="001D00E4" w:rsidP="001D00E4">
      <w:pPr>
        <w:keepNext/>
        <w:keepLines/>
        <w:spacing w:after="159"/>
        <w:ind w:left="10" w:right="611" w:hanging="10"/>
        <w:jc w:val="center"/>
        <w:outlineLvl w:val="1"/>
        <w:rPr>
          <w:rFonts w:eastAsia="Times New Roman"/>
          <w:b/>
          <w:color w:val="000000"/>
          <w:sz w:val="32"/>
          <w:szCs w:val="22"/>
          <w:lang w:eastAsia="en-IN"/>
        </w:rPr>
      </w:pPr>
      <w:r w:rsidRPr="001D00E4">
        <w:rPr>
          <w:rFonts w:eastAsia="Times New Roman"/>
          <w:b/>
          <w:color w:val="000000"/>
          <w:sz w:val="32"/>
          <w:szCs w:val="22"/>
          <w:lang w:eastAsia="en-IN"/>
        </w:rPr>
        <w:t xml:space="preserve">Master of Commerce and Management </w:t>
      </w:r>
    </w:p>
    <w:p w:rsidR="001D00E4" w:rsidRPr="001D00E4" w:rsidRDefault="001D00E4" w:rsidP="001D00E4">
      <w:pPr>
        <w:spacing w:after="164"/>
        <w:ind w:right="611"/>
        <w:jc w:val="center"/>
        <w:rPr>
          <w:rFonts w:eastAsia="Times New Roman"/>
          <w:color w:val="000000"/>
          <w:sz w:val="32"/>
          <w:szCs w:val="22"/>
          <w:lang w:eastAsia="en-IN"/>
        </w:rPr>
      </w:pPr>
      <w:r w:rsidRPr="001D00E4">
        <w:rPr>
          <w:rFonts w:eastAsia="Times New Roman"/>
          <w:noProof/>
          <w:color w:val="000000"/>
          <w:sz w:val="32"/>
          <w:szCs w:val="22"/>
          <w:lang w:val="en-US" w:bidi="ml-IN"/>
        </w:rPr>
        <w:drawing>
          <wp:inline distT="0" distB="0" distL="0" distR="0">
            <wp:extent cx="1634250" cy="1880636"/>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stretch>
                      <a:fillRect/>
                    </a:stretch>
                  </pic:blipFill>
                  <pic:spPr>
                    <a:xfrm>
                      <a:off x="0" y="0"/>
                      <a:ext cx="1634250" cy="1880636"/>
                    </a:xfrm>
                    <a:prstGeom prst="rect">
                      <a:avLst/>
                    </a:prstGeom>
                  </pic:spPr>
                </pic:pic>
              </a:graphicData>
            </a:graphic>
          </wp:inline>
        </w:drawing>
      </w:r>
    </w:p>
    <w:p w:rsidR="001D00E4" w:rsidRPr="001D00E4" w:rsidRDefault="001D00E4" w:rsidP="001D00E4">
      <w:pPr>
        <w:keepNext/>
        <w:keepLines/>
        <w:spacing w:after="159"/>
        <w:ind w:left="10" w:right="611" w:hanging="10"/>
        <w:jc w:val="center"/>
        <w:outlineLvl w:val="0"/>
        <w:rPr>
          <w:rFonts w:eastAsia="Times New Roman"/>
          <w:b/>
          <w:color w:val="000000"/>
          <w:sz w:val="48"/>
          <w:szCs w:val="22"/>
          <w:lang w:eastAsia="en-IN"/>
        </w:rPr>
      </w:pPr>
      <w:r w:rsidRPr="001D00E4">
        <w:rPr>
          <w:rFonts w:eastAsia="Times New Roman"/>
          <w:b/>
          <w:color w:val="000000"/>
          <w:sz w:val="32"/>
          <w:szCs w:val="22"/>
          <w:lang w:eastAsia="en-IN"/>
        </w:rPr>
        <w:t>ST.TERESA’S COLLEGE (AUTONOMOUS), ERNAKULAM</w:t>
      </w:r>
    </w:p>
    <w:p w:rsidR="001D00E4" w:rsidRPr="001D00E4" w:rsidRDefault="001D00E4" w:rsidP="001D00E4">
      <w:pPr>
        <w:spacing w:after="214"/>
        <w:ind w:left="10" w:right="611" w:hanging="10"/>
        <w:jc w:val="center"/>
        <w:rPr>
          <w:rFonts w:eastAsia="Times New Roman"/>
          <w:color w:val="000000"/>
          <w:sz w:val="32"/>
          <w:szCs w:val="22"/>
          <w:lang w:eastAsia="en-IN"/>
        </w:rPr>
      </w:pPr>
      <w:r w:rsidRPr="001D00E4">
        <w:rPr>
          <w:rFonts w:eastAsia="Times New Roman"/>
          <w:color w:val="000000"/>
          <w:sz w:val="32"/>
          <w:szCs w:val="22"/>
          <w:lang w:eastAsia="en-IN"/>
        </w:rPr>
        <w:t xml:space="preserve">COLLEGE WITH POTENTIAL FOR EXCELLENCE </w:t>
      </w:r>
    </w:p>
    <w:p w:rsidR="001D00E4" w:rsidRPr="001D00E4" w:rsidRDefault="001D00E4" w:rsidP="001D00E4">
      <w:pPr>
        <w:spacing w:after="190" w:line="250" w:lineRule="auto"/>
        <w:ind w:left="3466" w:right="611" w:hanging="2888"/>
        <w:jc w:val="both"/>
        <w:rPr>
          <w:rFonts w:eastAsia="Times New Roman"/>
          <w:color w:val="000000"/>
          <w:sz w:val="32"/>
          <w:szCs w:val="22"/>
          <w:lang w:eastAsia="en-IN"/>
        </w:rPr>
      </w:pPr>
      <w:r w:rsidRPr="001D00E4">
        <w:rPr>
          <w:rFonts w:eastAsia="Times New Roman"/>
          <w:color w:val="000000"/>
          <w:sz w:val="32"/>
          <w:szCs w:val="22"/>
          <w:lang w:eastAsia="en-IN"/>
        </w:rPr>
        <w:t xml:space="preserve">Nationally Re-Accredited at </w:t>
      </w:r>
      <w:r w:rsidR="00B103B3">
        <w:rPr>
          <w:rFonts w:eastAsia="Times New Roman"/>
          <w:color w:val="000000"/>
          <w:sz w:val="32"/>
          <w:szCs w:val="22"/>
          <w:lang w:eastAsia="en-IN"/>
        </w:rPr>
        <w:t>“</w:t>
      </w:r>
      <w:r w:rsidRPr="001D00E4">
        <w:rPr>
          <w:rFonts w:eastAsia="Times New Roman"/>
          <w:color w:val="000000"/>
          <w:sz w:val="32"/>
          <w:szCs w:val="22"/>
          <w:lang w:eastAsia="en-IN"/>
        </w:rPr>
        <w:t>A++</w:t>
      </w:r>
      <w:r w:rsidR="00B103B3">
        <w:rPr>
          <w:rFonts w:eastAsia="Times New Roman"/>
          <w:color w:val="000000"/>
          <w:sz w:val="32"/>
          <w:szCs w:val="22"/>
          <w:lang w:eastAsia="en-IN"/>
        </w:rPr>
        <w:t>”</w:t>
      </w:r>
      <w:r w:rsidRPr="001D00E4">
        <w:rPr>
          <w:rFonts w:eastAsia="Times New Roman"/>
          <w:color w:val="000000"/>
          <w:sz w:val="32"/>
          <w:szCs w:val="22"/>
          <w:lang w:eastAsia="en-IN"/>
        </w:rPr>
        <w:t xml:space="preserve"> Level (Fourth Cycle) Affiliated to </w:t>
      </w:r>
    </w:p>
    <w:p w:rsidR="001D00E4" w:rsidRPr="001D00E4" w:rsidRDefault="001D00E4" w:rsidP="001D00E4">
      <w:pPr>
        <w:keepNext/>
        <w:keepLines/>
        <w:spacing w:after="159"/>
        <w:ind w:left="10" w:right="611" w:hanging="10"/>
        <w:jc w:val="center"/>
        <w:outlineLvl w:val="0"/>
        <w:rPr>
          <w:rFonts w:eastAsia="Times New Roman"/>
          <w:b/>
          <w:color w:val="000000"/>
          <w:sz w:val="48"/>
          <w:szCs w:val="22"/>
          <w:lang w:eastAsia="en-IN"/>
        </w:rPr>
      </w:pPr>
      <w:r w:rsidRPr="001D00E4">
        <w:rPr>
          <w:rFonts w:eastAsia="Times New Roman"/>
          <w:b/>
          <w:color w:val="000000"/>
          <w:sz w:val="32"/>
          <w:szCs w:val="22"/>
          <w:lang w:eastAsia="en-IN"/>
        </w:rPr>
        <w:t xml:space="preserve">MAHATMA GANDHI UNIVERSITY </w:t>
      </w:r>
    </w:p>
    <w:p w:rsidR="001D00E4" w:rsidRPr="001D00E4" w:rsidRDefault="001D00E4" w:rsidP="001D00E4">
      <w:pPr>
        <w:spacing w:after="176"/>
        <w:ind w:left="10" w:right="611" w:hanging="10"/>
        <w:jc w:val="center"/>
        <w:rPr>
          <w:rFonts w:eastAsia="Times New Roman"/>
          <w:color w:val="000000"/>
          <w:sz w:val="32"/>
          <w:szCs w:val="22"/>
          <w:lang w:eastAsia="en-IN"/>
        </w:rPr>
      </w:pPr>
      <w:r w:rsidRPr="001D00E4">
        <w:rPr>
          <w:rFonts w:eastAsia="Times New Roman"/>
          <w:color w:val="000000"/>
          <w:sz w:val="32"/>
          <w:szCs w:val="22"/>
          <w:lang w:eastAsia="en-IN"/>
        </w:rPr>
        <w:t>Kottayam-686560</w:t>
      </w:r>
    </w:p>
    <w:p w:rsidR="002423EC" w:rsidRDefault="001D00E4" w:rsidP="00A80D30">
      <w:pPr>
        <w:jc w:val="center"/>
        <w:rPr>
          <w:sz w:val="32"/>
          <w:szCs w:val="32"/>
        </w:rPr>
      </w:pPr>
      <w:r>
        <w:rPr>
          <w:sz w:val="32"/>
          <w:szCs w:val="32"/>
        </w:rPr>
        <w:t>MARCH 2024</w:t>
      </w: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r>
        <w:rPr>
          <w:rFonts w:eastAsia="Times New Roman"/>
          <w:b/>
          <w:noProof/>
          <w:color w:val="000000"/>
          <w:sz w:val="32"/>
          <w:szCs w:val="22"/>
          <w:lang w:val="en-US" w:bidi="ml-IN"/>
        </w:rPr>
        <w:drawing>
          <wp:anchor distT="0" distB="0" distL="114300" distR="114300" simplePos="0" relativeHeight="251687936" behindDoc="0" locked="0" layoutInCell="1" allowOverlap="1">
            <wp:simplePos x="0" y="0"/>
            <wp:positionH relativeFrom="column">
              <wp:posOffset>8255</wp:posOffset>
            </wp:positionH>
            <wp:positionV relativeFrom="paragraph">
              <wp:posOffset>78740</wp:posOffset>
            </wp:positionV>
            <wp:extent cx="5243195" cy="8098790"/>
            <wp:effectExtent l="19050" t="0" r="0" b="0"/>
            <wp:wrapNone/>
            <wp:docPr id="1" name="Picture 1" descr="C:\Users\admin\OneDrive\Desktop\2024_06_19 9_54 am Office Le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2024_06_19 9_54 am Office Lens (1).jpg"/>
                    <pic:cNvPicPr>
                      <a:picLocks noChangeAspect="1" noChangeArrowheads="1"/>
                    </pic:cNvPicPr>
                  </pic:nvPicPr>
                  <pic:blipFill>
                    <a:blip r:embed="rId9"/>
                    <a:srcRect/>
                    <a:stretch>
                      <a:fillRect/>
                    </a:stretch>
                  </pic:blipFill>
                  <pic:spPr bwMode="auto">
                    <a:xfrm>
                      <a:off x="0" y="0"/>
                      <a:ext cx="5243195" cy="8098790"/>
                    </a:xfrm>
                    <a:prstGeom prst="rect">
                      <a:avLst/>
                    </a:prstGeom>
                    <a:noFill/>
                    <a:ln w="9525">
                      <a:noFill/>
                      <a:miter lim="800000"/>
                      <a:headEnd/>
                      <a:tailEnd/>
                    </a:ln>
                  </pic:spPr>
                </pic:pic>
              </a:graphicData>
            </a:graphic>
          </wp:anchor>
        </w:drawing>
      </w: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2600A4" w:rsidRDefault="002600A4" w:rsidP="005A6779">
      <w:pPr>
        <w:keepNext/>
        <w:keepLines/>
        <w:spacing w:after="0"/>
        <w:ind w:left="10" w:right="611" w:hanging="10"/>
        <w:jc w:val="center"/>
        <w:outlineLvl w:val="1"/>
        <w:rPr>
          <w:rFonts w:eastAsia="Times New Roman"/>
          <w:b/>
          <w:color w:val="000000"/>
          <w:sz w:val="32"/>
          <w:szCs w:val="22"/>
          <w:lang w:eastAsia="en-IN"/>
        </w:rPr>
      </w:pPr>
    </w:p>
    <w:p w:rsidR="00AF2C9A" w:rsidRDefault="000705CB" w:rsidP="005A6779">
      <w:pPr>
        <w:keepNext/>
        <w:keepLines/>
        <w:spacing w:after="0"/>
        <w:ind w:left="10" w:right="611" w:hanging="10"/>
        <w:jc w:val="center"/>
        <w:outlineLvl w:val="1"/>
        <w:rPr>
          <w:rFonts w:eastAsia="Times New Roman"/>
          <w:b/>
          <w:color w:val="000000"/>
          <w:sz w:val="32"/>
          <w:szCs w:val="22"/>
          <w:lang w:eastAsia="en-IN"/>
        </w:rPr>
      </w:pPr>
      <w:r>
        <w:rPr>
          <w:rFonts w:eastAsia="Times New Roman"/>
          <w:b/>
          <w:noProof/>
          <w:color w:val="000000"/>
          <w:sz w:val="32"/>
          <w:szCs w:val="22"/>
          <w:lang w:val="en-US" w:bidi="ml-IN"/>
        </w:rPr>
        <w:lastRenderedPageBreak/>
        <w:drawing>
          <wp:anchor distT="0" distB="0" distL="114300" distR="114300" simplePos="0" relativeHeight="251688960" behindDoc="0" locked="0" layoutInCell="1" allowOverlap="1">
            <wp:simplePos x="0" y="0"/>
            <wp:positionH relativeFrom="column">
              <wp:posOffset>17360</wp:posOffset>
            </wp:positionH>
            <wp:positionV relativeFrom="paragraph">
              <wp:posOffset>85222</wp:posOffset>
            </wp:positionV>
            <wp:extent cx="5455474" cy="8075221"/>
            <wp:effectExtent l="19050" t="0" r="0" b="0"/>
            <wp:wrapNone/>
            <wp:docPr id="3" name="Picture 2" descr="C:\Users\admin\OneDrive\Desktop\2024_06_19 9_54 am Office Le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2024_06_19 9_54 am Office Lens (2).jpg"/>
                    <pic:cNvPicPr>
                      <a:picLocks noChangeAspect="1" noChangeArrowheads="1"/>
                    </pic:cNvPicPr>
                  </pic:nvPicPr>
                  <pic:blipFill>
                    <a:blip r:embed="rId10"/>
                    <a:srcRect/>
                    <a:stretch>
                      <a:fillRect/>
                    </a:stretch>
                  </pic:blipFill>
                  <pic:spPr bwMode="auto">
                    <a:xfrm>
                      <a:off x="0" y="0"/>
                      <a:ext cx="5455474" cy="8075221"/>
                    </a:xfrm>
                    <a:prstGeom prst="rect">
                      <a:avLst/>
                    </a:prstGeom>
                    <a:noFill/>
                    <a:ln w="9525">
                      <a:noFill/>
                      <a:miter lim="800000"/>
                      <a:headEnd/>
                      <a:tailEnd/>
                    </a:ln>
                  </pic:spPr>
                </pic:pic>
              </a:graphicData>
            </a:graphic>
          </wp:anchor>
        </w:drawing>
      </w:r>
    </w:p>
    <w:p w:rsidR="00AF2C9A" w:rsidRDefault="00AF2C9A"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0705CB" w:rsidRDefault="000705CB" w:rsidP="005A6779">
      <w:pPr>
        <w:keepNext/>
        <w:keepLines/>
        <w:spacing w:after="0"/>
        <w:ind w:left="10" w:right="611" w:hanging="10"/>
        <w:jc w:val="center"/>
        <w:outlineLvl w:val="1"/>
        <w:rPr>
          <w:rFonts w:eastAsia="Times New Roman"/>
          <w:b/>
          <w:color w:val="000000"/>
          <w:sz w:val="32"/>
          <w:szCs w:val="22"/>
          <w:lang w:eastAsia="en-IN"/>
        </w:rPr>
      </w:pPr>
    </w:p>
    <w:p w:rsidR="00C60481" w:rsidRDefault="00C60481" w:rsidP="005A6779">
      <w:pPr>
        <w:keepNext/>
        <w:keepLines/>
        <w:spacing w:after="0"/>
        <w:ind w:left="10" w:right="611" w:hanging="10"/>
        <w:jc w:val="center"/>
        <w:outlineLvl w:val="1"/>
        <w:rPr>
          <w:rFonts w:eastAsia="Times New Roman"/>
          <w:b/>
          <w:color w:val="000000"/>
          <w:sz w:val="32"/>
          <w:szCs w:val="22"/>
          <w:lang w:eastAsia="en-IN"/>
        </w:rPr>
      </w:pPr>
    </w:p>
    <w:p w:rsidR="005A6779" w:rsidRDefault="000705CB" w:rsidP="001D00E4">
      <w:pPr>
        <w:jc w:val="center"/>
        <w:rPr>
          <w:sz w:val="32"/>
          <w:szCs w:val="32"/>
        </w:rPr>
      </w:pPr>
      <w:r>
        <w:rPr>
          <w:noProof/>
          <w:sz w:val="32"/>
          <w:szCs w:val="32"/>
          <w:lang w:val="en-US" w:bidi="ml-IN"/>
        </w:rPr>
        <w:lastRenderedPageBreak/>
        <w:drawing>
          <wp:inline distT="0" distB="0" distL="0" distR="0">
            <wp:extent cx="5399405" cy="8247173"/>
            <wp:effectExtent l="19050" t="0" r="0" b="0"/>
            <wp:docPr id="4" name="Picture 3" descr="C:\Users\admin\OneDrive\Desktop\2024_06_19 9_54 am Office Le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2024_06_19 9_54 am Office Lens (3).jpg"/>
                    <pic:cNvPicPr>
                      <a:picLocks noChangeAspect="1" noChangeArrowheads="1"/>
                    </pic:cNvPicPr>
                  </pic:nvPicPr>
                  <pic:blipFill>
                    <a:blip r:embed="rId11"/>
                    <a:srcRect/>
                    <a:stretch>
                      <a:fillRect/>
                    </a:stretch>
                  </pic:blipFill>
                  <pic:spPr bwMode="auto">
                    <a:xfrm>
                      <a:off x="0" y="0"/>
                      <a:ext cx="5399405" cy="8247173"/>
                    </a:xfrm>
                    <a:prstGeom prst="rect">
                      <a:avLst/>
                    </a:prstGeom>
                    <a:noFill/>
                    <a:ln w="9525">
                      <a:noFill/>
                      <a:miter lim="800000"/>
                      <a:headEnd/>
                      <a:tailEnd/>
                    </a:ln>
                  </pic:spPr>
                </pic:pic>
              </a:graphicData>
            </a:graphic>
          </wp:inline>
        </w:drawing>
      </w:r>
    </w:p>
    <w:p w:rsidR="00D60F2E" w:rsidRDefault="00D60F2E" w:rsidP="000705CB">
      <w:pPr>
        <w:rPr>
          <w:sz w:val="32"/>
          <w:szCs w:val="32"/>
        </w:rPr>
      </w:pPr>
    </w:p>
    <w:p w:rsidR="00D60F2E" w:rsidRDefault="00D60F2E" w:rsidP="001D00E4">
      <w:pPr>
        <w:jc w:val="center"/>
        <w:rPr>
          <w:sz w:val="32"/>
          <w:szCs w:val="32"/>
        </w:rPr>
      </w:pPr>
    </w:p>
    <w:p w:rsidR="00AB62B1" w:rsidRPr="00AB62B1" w:rsidRDefault="00AB62B1" w:rsidP="00AB62B1">
      <w:pPr>
        <w:keepNext/>
        <w:keepLines/>
        <w:spacing w:after="0"/>
        <w:ind w:left="2240" w:right="611" w:hanging="10"/>
        <w:outlineLvl w:val="0"/>
        <w:rPr>
          <w:rFonts w:eastAsia="Times New Roman"/>
          <w:b/>
          <w:color w:val="000000"/>
          <w:sz w:val="32"/>
          <w:szCs w:val="32"/>
          <w:lang w:eastAsia="en-IN"/>
        </w:rPr>
      </w:pPr>
      <w:r w:rsidRPr="00AB62B1">
        <w:rPr>
          <w:rFonts w:eastAsia="Times New Roman"/>
          <w:b/>
          <w:color w:val="000000"/>
          <w:sz w:val="32"/>
          <w:szCs w:val="32"/>
          <w:lang w:eastAsia="en-IN"/>
        </w:rPr>
        <w:t xml:space="preserve">ACKNOWLEDGEMENT </w:t>
      </w:r>
    </w:p>
    <w:p w:rsidR="00AB62B1" w:rsidRDefault="00AB62B1" w:rsidP="00AB62B1">
      <w:pPr>
        <w:spacing w:after="2" w:line="359" w:lineRule="auto"/>
        <w:ind w:left="-5" w:right="611" w:hanging="10"/>
        <w:jc w:val="both"/>
        <w:rPr>
          <w:rFonts w:eastAsia="Times New Roman"/>
          <w:color w:val="000000"/>
          <w:sz w:val="28"/>
          <w:szCs w:val="22"/>
          <w:lang w:eastAsia="en-IN"/>
        </w:rPr>
      </w:pPr>
    </w:p>
    <w:p w:rsidR="00AB62B1" w:rsidRPr="00AB62B1" w:rsidRDefault="00AB62B1" w:rsidP="00AB62B1">
      <w:pPr>
        <w:spacing w:after="2" w:line="359" w:lineRule="auto"/>
        <w:ind w:left="-5" w:right="611" w:hanging="10"/>
        <w:jc w:val="both"/>
        <w:rPr>
          <w:rFonts w:eastAsia="Times New Roman"/>
          <w:color w:val="000000"/>
          <w:sz w:val="32"/>
          <w:szCs w:val="22"/>
          <w:lang w:eastAsia="en-IN"/>
        </w:rPr>
      </w:pPr>
      <w:r w:rsidRPr="00AB62B1">
        <w:rPr>
          <w:rFonts w:eastAsia="Times New Roman"/>
          <w:color w:val="000000"/>
          <w:sz w:val="28"/>
          <w:szCs w:val="22"/>
          <w:lang w:eastAsia="en-IN"/>
        </w:rPr>
        <w:t xml:space="preserve">I wish to acknowledge all those who helped us to complete this study. I thank God almighty for helping me and guiding me in the right path and who made all things possible. </w:t>
      </w:r>
    </w:p>
    <w:p w:rsidR="00AB62B1" w:rsidRPr="00AB62B1" w:rsidRDefault="00AB62B1" w:rsidP="00AB62B1">
      <w:pPr>
        <w:spacing w:after="131"/>
        <w:ind w:right="611"/>
        <w:rPr>
          <w:rFonts w:eastAsia="Times New Roman"/>
          <w:color w:val="000000"/>
          <w:sz w:val="32"/>
          <w:szCs w:val="22"/>
          <w:lang w:eastAsia="en-IN"/>
        </w:rPr>
      </w:pPr>
    </w:p>
    <w:p w:rsidR="00AB62B1" w:rsidRPr="00AB62B1" w:rsidRDefault="00AB62B1" w:rsidP="00AB62B1">
      <w:pPr>
        <w:spacing w:after="2" w:line="359" w:lineRule="auto"/>
        <w:ind w:left="-5" w:right="611" w:hanging="10"/>
        <w:jc w:val="both"/>
        <w:rPr>
          <w:rFonts w:eastAsia="Times New Roman"/>
          <w:color w:val="000000"/>
          <w:sz w:val="32"/>
          <w:szCs w:val="22"/>
          <w:lang w:eastAsia="en-IN"/>
        </w:rPr>
      </w:pPr>
      <w:r w:rsidRPr="00AB62B1">
        <w:rPr>
          <w:rFonts w:eastAsia="Times New Roman"/>
          <w:color w:val="000000"/>
          <w:sz w:val="28"/>
          <w:szCs w:val="22"/>
          <w:lang w:eastAsia="en-IN"/>
        </w:rPr>
        <w:t xml:space="preserve">I  take this opportunity to express our profound gratitude and deep regards to my guide </w:t>
      </w:r>
      <w:r>
        <w:rPr>
          <w:rFonts w:eastAsia="Times New Roman"/>
          <w:b/>
          <w:color w:val="000000"/>
          <w:sz w:val="28"/>
          <w:szCs w:val="22"/>
          <w:lang w:eastAsia="en-IN"/>
        </w:rPr>
        <w:t>Dr.Jency Treesa</w:t>
      </w:r>
      <w:r w:rsidRPr="00AB62B1">
        <w:rPr>
          <w:rFonts w:eastAsia="Times New Roman"/>
          <w:b/>
          <w:color w:val="000000"/>
          <w:sz w:val="28"/>
          <w:szCs w:val="22"/>
          <w:lang w:eastAsia="en-IN"/>
        </w:rPr>
        <w:t xml:space="preserve">, </w:t>
      </w:r>
      <w:r w:rsidRPr="00AB62B1">
        <w:rPr>
          <w:rFonts w:eastAsia="Times New Roman"/>
          <w:color w:val="000000"/>
          <w:sz w:val="28"/>
          <w:szCs w:val="22"/>
          <w:lang w:eastAsia="en-IN"/>
        </w:rPr>
        <w:t>Assistant professor, St. Teresa</w:t>
      </w:r>
      <w:r w:rsidR="00FC69FD">
        <w:rPr>
          <w:rFonts w:eastAsia="Times New Roman"/>
          <w:color w:val="000000"/>
          <w:sz w:val="28"/>
          <w:szCs w:val="22"/>
          <w:lang w:eastAsia="en-IN"/>
        </w:rPr>
        <w:t>’</w:t>
      </w:r>
      <w:r w:rsidRPr="00AB62B1">
        <w:rPr>
          <w:rFonts w:eastAsia="Times New Roman"/>
          <w:color w:val="000000"/>
          <w:sz w:val="28"/>
          <w:szCs w:val="22"/>
          <w:lang w:eastAsia="en-IN"/>
        </w:rPr>
        <w:t xml:space="preserve">s college, Ernakulam for her exemplary guidance, monitoring and constant encouragement throughout the course of this study. The blessings, help and guidance given by her time to time shall carry us a long way in the journey of life on which we are about to embark. She has taken pain to go through the project and make necessary corrections as and when needed.  </w:t>
      </w:r>
    </w:p>
    <w:p w:rsidR="00AB62B1" w:rsidRPr="00AB62B1" w:rsidRDefault="00AB62B1" w:rsidP="00AB62B1">
      <w:pPr>
        <w:spacing w:after="2" w:line="359" w:lineRule="auto"/>
        <w:ind w:left="-5" w:right="611" w:hanging="10"/>
        <w:jc w:val="both"/>
        <w:rPr>
          <w:rFonts w:eastAsia="Times New Roman"/>
          <w:color w:val="000000"/>
          <w:sz w:val="32"/>
          <w:szCs w:val="22"/>
          <w:lang w:eastAsia="en-IN"/>
        </w:rPr>
      </w:pPr>
      <w:r w:rsidRPr="00AB62B1">
        <w:rPr>
          <w:rFonts w:eastAsia="Times New Roman"/>
          <w:color w:val="000000"/>
          <w:sz w:val="28"/>
          <w:szCs w:val="22"/>
          <w:lang w:eastAsia="en-IN"/>
        </w:rPr>
        <w:t xml:space="preserve">We express our sincere thanks to the Director </w:t>
      </w:r>
      <w:r w:rsidRPr="00AB62B1">
        <w:rPr>
          <w:rFonts w:eastAsia="Times New Roman"/>
          <w:b/>
          <w:color w:val="000000"/>
          <w:sz w:val="28"/>
          <w:szCs w:val="22"/>
          <w:lang w:eastAsia="en-IN"/>
        </w:rPr>
        <w:t xml:space="preserve">Rev. Sr. Emeline CSST, Rev. Dr. Sr. Vinitha CSST </w:t>
      </w:r>
      <w:r w:rsidRPr="00AB62B1">
        <w:rPr>
          <w:rFonts w:eastAsia="Times New Roman"/>
          <w:color w:val="000000"/>
          <w:sz w:val="28"/>
          <w:szCs w:val="22"/>
          <w:lang w:eastAsia="en-IN"/>
        </w:rPr>
        <w:t xml:space="preserve">(Provincial </w:t>
      </w:r>
      <w:r w:rsidR="004E116E">
        <w:rPr>
          <w:rFonts w:eastAsia="Times New Roman"/>
          <w:color w:val="000000"/>
          <w:sz w:val="28"/>
          <w:szCs w:val="22"/>
          <w:lang w:eastAsia="en-IN"/>
        </w:rPr>
        <w:t>S</w:t>
      </w:r>
      <w:r w:rsidRPr="00AB62B1">
        <w:rPr>
          <w:rFonts w:eastAsia="Times New Roman"/>
          <w:color w:val="000000"/>
          <w:sz w:val="28"/>
          <w:szCs w:val="22"/>
          <w:lang w:eastAsia="en-IN"/>
        </w:rPr>
        <w:t xml:space="preserve">uperior and </w:t>
      </w:r>
      <w:r w:rsidR="004E116E">
        <w:rPr>
          <w:rFonts w:eastAsia="Times New Roman"/>
          <w:color w:val="000000"/>
          <w:sz w:val="28"/>
          <w:szCs w:val="22"/>
          <w:lang w:eastAsia="en-IN"/>
        </w:rPr>
        <w:t>M</w:t>
      </w:r>
      <w:r w:rsidRPr="00AB62B1">
        <w:rPr>
          <w:rFonts w:eastAsia="Times New Roman"/>
          <w:color w:val="000000"/>
          <w:sz w:val="28"/>
          <w:szCs w:val="22"/>
          <w:lang w:eastAsia="en-IN"/>
        </w:rPr>
        <w:t xml:space="preserve">anager), Principal </w:t>
      </w:r>
      <w:r w:rsidRPr="00AB62B1">
        <w:rPr>
          <w:rFonts w:eastAsia="Times New Roman"/>
          <w:b/>
          <w:color w:val="000000"/>
          <w:sz w:val="28"/>
          <w:szCs w:val="22"/>
          <w:lang w:eastAsia="en-IN"/>
        </w:rPr>
        <w:t xml:space="preserve">Dr. Alphonsa Vijaya Joseph </w:t>
      </w:r>
      <w:r w:rsidRPr="00AB62B1">
        <w:rPr>
          <w:rFonts w:eastAsia="Times New Roman"/>
          <w:color w:val="000000"/>
          <w:sz w:val="28"/>
          <w:szCs w:val="22"/>
          <w:lang w:eastAsia="en-IN"/>
        </w:rPr>
        <w:t xml:space="preserve">and </w:t>
      </w:r>
      <w:r w:rsidRPr="00AB62B1">
        <w:rPr>
          <w:rFonts w:eastAsia="Times New Roman"/>
          <w:b/>
          <w:color w:val="000000"/>
          <w:sz w:val="28"/>
          <w:szCs w:val="22"/>
          <w:lang w:eastAsia="en-IN"/>
        </w:rPr>
        <w:t>Ms.</w:t>
      </w:r>
      <w:r>
        <w:rPr>
          <w:rFonts w:eastAsia="Times New Roman"/>
          <w:b/>
          <w:color w:val="000000"/>
          <w:sz w:val="28"/>
          <w:szCs w:val="22"/>
          <w:lang w:eastAsia="en-IN"/>
        </w:rPr>
        <w:t>Elizabeth Rini K F</w:t>
      </w:r>
      <w:r w:rsidRPr="00AB62B1">
        <w:rPr>
          <w:rFonts w:eastAsia="Times New Roman"/>
          <w:color w:val="000000"/>
          <w:sz w:val="28"/>
          <w:szCs w:val="22"/>
          <w:lang w:eastAsia="en-IN"/>
        </w:rPr>
        <w:t>, Head of the Department of Commerce ,to all other faculties of the department of commerce, St. Teresa</w:t>
      </w:r>
      <w:r w:rsidR="000A48F2">
        <w:rPr>
          <w:rFonts w:eastAsia="Times New Roman"/>
          <w:color w:val="000000"/>
          <w:sz w:val="28"/>
          <w:szCs w:val="22"/>
          <w:lang w:eastAsia="en-IN"/>
        </w:rPr>
        <w:t>’</w:t>
      </w:r>
      <w:r w:rsidRPr="00AB62B1">
        <w:rPr>
          <w:rFonts w:eastAsia="Times New Roman"/>
          <w:color w:val="000000"/>
          <w:sz w:val="28"/>
          <w:szCs w:val="22"/>
          <w:lang w:eastAsia="en-IN"/>
        </w:rPr>
        <w:t xml:space="preserve">s College, for their support and valuable suggestions.  I would like to express my thanks to all respondents and colleagues in developing the project.  </w:t>
      </w:r>
    </w:p>
    <w:p w:rsidR="00AB62B1" w:rsidRPr="00AB62B1" w:rsidRDefault="00AB62B1" w:rsidP="00AB62B1">
      <w:pPr>
        <w:spacing w:after="158" w:line="271" w:lineRule="auto"/>
        <w:ind w:left="-5" w:right="611" w:hanging="10"/>
        <w:jc w:val="both"/>
        <w:rPr>
          <w:rFonts w:eastAsia="Times New Roman"/>
          <w:color w:val="000000"/>
          <w:sz w:val="32"/>
          <w:szCs w:val="22"/>
          <w:lang w:eastAsia="en-IN"/>
        </w:rPr>
      </w:pPr>
      <w:r w:rsidRPr="00AB62B1">
        <w:rPr>
          <w:rFonts w:eastAsia="Times New Roman"/>
          <w:color w:val="000000"/>
          <w:sz w:val="28"/>
          <w:szCs w:val="22"/>
          <w:lang w:eastAsia="en-IN"/>
        </w:rPr>
        <w:t>I also extent heartfelt thanks to my family for their constant encouragement without which this project would not</w:t>
      </w:r>
      <w:r w:rsidR="004E116E">
        <w:rPr>
          <w:rFonts w:eastAsia="Times New Roman"/>
          <w:color w:val="000000"/>
          <w:sz w:val="28"/>
          <w:szCs w:val="22"/>
          <w:lang w:eastAsia="en-IN"/>
        </w:rPr>
        <w:t xml:space="preserve"> have</w:t>
      </w:r>
      <w:r w:rsidRPr="00AB62B1">
        <w:rPr>
          <w:rFonts w:eastAsia="Times New Roman"/>
          <w:color w:val="000000"/>
          <w:sz w:val="28"/>
          <w:szCs w:val="22"/>
          <w:lang w:eastAsia="en-IN"/>
        </w:rPr>
        <w:t xml:space="preserve"> be</w:t>
      </w:r>
      <w:r w:rsidR="004E116E">
        <w:rPr>
          <w:rFonts w:eastAsia="Times New Roman"/>
          <w:color w:val="000000"/>
          <w:sz w:val="28"/>
          <w:szCs w:val="22"/>
          <w:lang w:eastAsia="en-IN"/>
        </w:rPr>
        <w:t>en</w:t>
      </w:r>
      <w:r w:rsidRPr="00AB62B1">
        <w:rPr>
          <w:rFonts w:eastAsia="Times New Roman"/>
          <w:color w:val="000000"/>
          <w:sz w:val="28"/>
          <w:szCs w:val="22"/>
          <w:lang w:eastAsia="en-IN"/>
        </w:rPr>
        <w:t xml:space="preserve"> possible</w:t>
      </w:r>
      <w:r w:rsidRPr="00AB62B1">
        <w:rPr>
          <w:rFonts w:ascii="Calibri" w:eastAsia="Calibri" w:hAnsi="Calibri" w:cs="Calibri"/>
          <w:color w:val="000000"/>
          <w:sz w:val="35"/>
          <w:szCs w:val="22"/>
          <w:vertAlign w:val="subscript"/>
          <w:lang w:eastAsia="en-IN"/>
        </w:rPr>
        <w:t xml:space="preserve">. </w:t>
      </w:r>
    </w:p>
    <w:p w:rsidR="00AB62B1" w:rsidRPr="00AB62B1" w:rsidRDefault="00AB62B1" w:rsidP="00AB62B1">
      <w:pPr>
        <w:spacing w:after="359"/>
        <w:ind w:right="611"/>
        <w:rPr>
          <w:rFonts w:eastAsia="Times New Roman"/>
          <w:color w:val="000000"/>
          <w:sz w:val="32"/>
          <w:szCs w:val="22"/>
          <w:lang w:eastAsia="en-IN"/>
        </w:rPr>
      </w:pPr>
    </w:p>
    <w:p w:rsidR="000A48F2" w:rsidRDefault="000A48F2" w:rsidP="00A80D30">
      <w:pPr>
        <w:spacing w:after="0" w:line="468" w:lineRule="auto"/>
        <w:ind w:left="556" w:right="-15" w:firstLine="3680"/>
        <w:rPr>
          <w:rFonts w:eastAsia="Times New Roman"/>
          <w:color w:val="000000"/>
          <w:sz w:val="28"/>
          <w:szCs w:val="28"/>
          <w:lang w:eastAsia="en-IN"/>
        </w:rPr>
      </w:pPr>
      <w:r w:rsidRPr="000A48F2">
        <w:rPr>
          <w:rFonts w:eastAsia="Times New Roman"/>
          <w:b/>
          <w:color w:val="000000"/>
          <w:sz w:val="28"/>
          <w:szCs w:val="28"/>
          <w:lang w:eastAsia="en-IN"/>
        </w:rPr>
        <w:t>HRIDYA RAJKUMAR</w:t>
      </w:r>
    </w:p>
    <w:p w:rsidR="00A80D30" w:rsidRPr="00A80D30" w:rsidRDefault="00A80D30" w:rsidP="00A80D30">
      <w:pPr>
        <w:spacing w:after="0" w:line="468" w:lineRule="auto"/>
        <w:ind w:left="556" w:right="-15" w:firstLine="3680"/>
        <w:rPr>
          <w:rFonts w:eastAsia="Times New Roman"/>
          <w:color w:val="000000"/>
          <w:sz w:val="28"/>
          <w:szCs w:val="28"/>
          <w:lang w:eastAsia="en-IN"/>
        </w:rPr>
      </w:pPr>
    </w:p>
    <w:p w:rsidR="000A48F2" w:rsidRDefault="000A48F2" w:rsidP="001D00E4">
      <w:pPr>
        <w:jc w:val="center"/>
        <w:rPr>
          <w:b/>
          <w:bCs/>
          <w:sz w:val="32"/>
          <w:szCs w:val="32"/>
        </w:rPr>
      </w:pPr>
      <w:r w:rsidRPr="000A48F2">
        <w:rPr>
          <w:b/>
          <w:bCs/>
          <w:sz w:val="32"/>
          <w:szCs w:val="32"/>
        </w:rPr>
        <w:lastRenderedPageBreak/>
        <w:t>CONTENTS</w:t>
      </w:r>
    </w:p>
    <w:tbl>
      <w:tblPr>
        <w:tblStyle w:val="Footer"/>
        <w:tblW w:w="8449" w:type="dxa"/>
        <w:tblLook w:val="04A0"/>
      </w:tblPr>
      <w:tblGrid>
        <w:gridCol w:w="2710"/>
        <w:gridCol w:w="3032"/>
        <w:gridCol w:w="2707"/>
      </w:tblGrid>
      <w:tr w:rsidR="000A48F2" w:rsidTr="002423EC">
        <w:trPr>
          <w:trHeight w:val="870"/>
        </w:trPr>
        <w:tc>
          <w:tcPr>
            <w:tcW w:w="2816" w:type="dxa"/>
          </w:tcPr>
          <w:p w:rsidR="000A48F2" w:rsidRPr="002B609E" w:rsidRDefault="002B609E" w:rsidP="001D00E4">
            <w:pPr>
              <w:jc w:val="center"/>
              <w:rPr>
                <w:b/>
                <w:bCs/>
                <w:sz w:val="32"/>
                <w:szCs w:val="32"/>
              </w:rPr>
            </w:pPr>
            <w:r w:rsidRPr="002B609E">
              <w:rPr>
                <w:b/>
                <w:bCs/>
                <w:sz w:val="32"/>
                <w:szCs w:val="32"/>
              </w:rPr>
              <w:t>Sl.No</w:t>
            </w:r>
          </w:p>
        </w:tc>
        <w:tc>
          <w:tcPr>
            <w:tcW w:w="2816" w:type="dxa"/>
          </w:tcPr>
          <w:p w:rsidR="000A48F2" w:rsidRPr="002B609E" w:rsidRDefault="002B609E" w:rsidP="001D00E4">
            <w:pPr>
              <w:jc w:val="center"/>
              <w:rPr>
                <w:b/>
                <w:bCs/>
                <w:sz w:val="32"/>
                <w:szCs w:val="32"/>
              </w:rPr>
            </w:pPr>
            <w:r w:rsidRPr="002B609E">
              <w:rPr>
                <w:b/>
                <w:bCs/>
                <w:sz w:val="32"/>
                <w:szCs w:val="32"/>
              </w:rPr>
              <w:t>Particulars</w:t>
            </w:r>
          </w:p>
        </w:tc>
        <w:tc>
          <w:tcPr>
            <w:tcW w:w="2817" w:type="dxa"/>
          </w:tcPr>
          <w:p w:rsidR="000A48F2" w:rsidRPr="002B609E" w:rsidRDefault="002B609E" w:rsidP="001D00E4">
            <w:pPr>
              <w:jc w:val="center"/>
              <w:rPr>
                <w:b/>
                <w:bCs/>
                <w:sz w:val="32"/>
                <w:szCs w:val="32"/>
              </w:rPr>
            </w:pPr>
            <w:r w:rsidRPr="002B609E">
              <w:rPr>
                <w:b/>
                <w:bCs/>
                <w:sz w:val="32"/>
                <w:szCs w:val="32"/>
              </w:rPr>
              <w:t>Page no</w:t>
            </w:r>
          </w:p>
        </w:tc>
      </w:tr>
      <w:tr w:rsidR="000A48F2" w:rsidRPr="002B609E" w:rsidTr="002423EC">
        <w:trPr>
          <w:trHeight w:val="870"/>
        </w:trPr>
        <w:tc>
          <w:tcPr>
            <w:tcW w:w="2816" w:type="dxa"/>
          </w:tcPr>
          <w:p w:rsidR="000A48F2" w:rsidRPr="002B609E" w:rsidRDefault="002B609E" w:rsidP="001D00E4">
            <w:pPr>
              <w:jc w:val="center"/>
              <w:rPr>
                <w:sz w:val="28"/>
                <w:szCs w:val="28"/>
              </w:rPr>
            </w:pPr>
            <w:r w:rsidRPr="002B609E">
              <w:rPr>
                <w:sz w:val="28"/>
                <w:szCs w:val="28"/>
              </w:rPr>
              <w:t>1.</w:t>
            </w:r>
          </w:p>
        </w:tc>
        <w:tc>
          <w:tcPr>
            <w:tcW w:w="2816" w:type="dxa"/>
          </w:tcPr>
          <w:p w:rsidR="000A48F2" w:rsidRPr="002B609E" w:rsidRDefault="002B609E" w:rsidP="001D00E4">
            <w:pPr>
              <w:jc w:val="center"/>
              <w:rPr>
                <w:sz w:val="28"/>
                <w:szCs w:val="28"/>
              </w:rPr>
            </w:pPr>
            <w:r>
              <w:rPr>
                <w:sz w:val="28"/>
                <w:szCs w:val="28"/>
              </w:rPr>
              <w:t>LIST OF FIGURES</w:t>
            </w:r>
          </w:p>
        </w:tc>
        <w:tc>
          <w:tcPr>
            <w:tcW w:w="2817" w:type="dxa"/>
          </w:tcPr>
          <w:p w:rsidR="000A48F2" w:rsidRPr="002B609E" w:rsidRDefault="000A48F2" w:rsidP="001D00E4">
            <w:pPr>
              <w:jc w:val="center"/>
              <w:rPr>
                <w:sz w:val="28"/>
                <w:szCs w:val="28"/>
              </w:rPr>
            </w:pPr>
          </w:p>
        </w:tc>
      </w:tr>
      <w:tr w:rsidR="000A48F2" w:rsidRPr="002B609E" w:rsidTr="00A80D30">
        <w:trPr>
          <w:trHeight w:val="720"/>
        </w:trPr>
        <w:tc>
          <w:tcPr>
            <w:tcW w:w="2816" w:type="dxa"/>
          </w:tcPr>
          <w:p w:rsidR="000A48F2" w:rsidRPr="002B609E" w:rsidRDefault="002B609E" w:rsidP="001D00E4">
            <w:pPr>
              <w:jc w:val="center"/>
              <w:rPr>
                <w:sz w:val="28"/>
                <w:szCs w:val="28"/>
              </w:rPr>
            </w:pPr>
            <w:r w:rsidRPr="002B609E">
              <w:rPr>
                <w:sz w:val="28"/>
                <w:szCs w:val="28"/>
              </w:rPr>
              <w:t>2.</w:t>
            </w:r>
          </w:p>
        </w:tc>
        <w:tc>
          <w:tcPr>
            <w:tcW w:w="2816" w:type="dxa"/>
          </w:tcPr>
          <w:p w:rsidR="000A48F2" w:rsidRPr="002B609E" w:rsidRDefault="002B609E" w:rsidP="002B609E">
            <w:pPr>
              <w:tabs>
                <w:tab w:val="left" w:pos="418"/>
              </w:tabs>
              <w:rPr>
                <w:sz w:val="28"/>
                <w:szCs w:val="28"/>
              </w:rPr>
            </w:pPr>
            <w:r>
              <w:rPr>
                <w:sz w:val="28"/>
                <w:szCs w:val="28"/>
              </w:rPr>
              <w:tab/>
              <w:t>LIST OF TABLES</w:t>
            </w:r>
          </w:p>
        </w:tc>
        <w:tc>
          <w:tcPr>
            <w:tcW w:w="2817" w:type="dxa"/>
          </w:tcPr>
          <w:p w:rsidR="000A48F2" w:rsidRPr="002B609E" w:rsidRDefault="000A48F2" w:rsidP="001D00E4">
            <w:pPr>
              <w:jc w:val="center"/>
              <w:rPr>
                <w:sz w:val="28"/>
                <w:szCs w:val="28"/>
              </w:rPr>
            </w:pPr>
          </w:p>
        </w:tc>
      </w:tr>
      <w:tr w:rsidR="000A48F2" w:rsidRPr="002B609E" w:rsidTr="002423EC">
        <w:trPr>
          <w:trHeight w:val="870"/>
        </w:trPr>
        <w:tc>
          <w:tcPr>
            <w:tcW w:w="2816" w:type="dxa"/>
          </w:tcPr>
          <w:p w:rsidR="000A48F2" w:rsidRPr="002B609E" w:rsidRDefault="002B609E" w:rsidP="001D00E4">
            <w:pPr>
              <w:jc w:val="center"/>
              <w:rPr>
                <w:sz w:val="28"/>
                <w:szCs w:val="28"/>
              </w:rPr>
            </w:pPr>
            <w:r w:rsidRPr="002B609E">
              <w:rPr>
                <w:sz w:val="28"/>
                <w:szCs w:val="28"/>
              </w:rPr>
              <w:t>3.</w:t>
            </w:r>
          </w:p>
        </w:tc>
        <w:tc>
          <w:tcPr>
            <w:tcW w:w="2816" w:type="dxa"/>
          </w:tcPr>
          <w:p w:rsidR="000A48F2" w:rsidRPr="002B609E" w:rsidRDefault="00DE3587" w:rsidP="001D00E4">
            <w:pPr>
              <w:jc w:val="center"/>
              <w:rPr>
                <w:sz w:val="28"/>
                <w:szCs w:val="28"/>
              </w:rPr>
            </w:pPr>
            <w:r>
              <w:rPr>
                <w:sz w:val="28"/>
                <w:szCs w:val="28"/>
              </w:rPr>
              <w:t>CHAPTER 1-INTRODUCTION</w:t>
            </w:r>
          </w:p>
        </w:tc>
        <w:tc>
          <w:tcPr>
            <w:tcW w:w="2817" w:type="dxa"/>
          </w:tcPr>
          <w:p w:rsidR="00A80D30" w:rsidRDefault="00A80D30" w:rsidP="001D00E4">
            <w:pPr>
              <w:jc w:val="center"/>
              <w:rPr>
                <w:sz w:val="28"/>
                <w:szCs w:val="28"/>
              </w:rPr>
            </w:pPr>
          </w:p>
          <w:p w:rsidR="000A48F2" w:rsidRPr="002B609E" w:rsidRDefault="00A80D30" w:rsidP="001D00E4">
            <w:pPr>
              <w:jc w:val="center"/>
              <w:rPr>
                <w:sz w:val="28"/>
                <w:szCs w:val="28"/>
              </w:rPr>
            </w:pPr>
            <w:r>
              <w:rPr>
                <w:sz w:val="28"/>
                <w:szCs w:val="28"/>
              </w:rPr>
              <w:t>1-6</w:t>
            </w:r>
          </w:p>
        </w:tc>
      </w:tr>
      <w:tr w:rsidR="000A48F2" w:rsidRPr="002B609E" w:rsidTr="002423EC">
        <w:trPr>
          <w:trHeight w:val="870"/>
        </w:trPr>
        <w:tc>
          <w:tcPr>
            <w:tcW w:w="2816" w:type="dxa"/>
          </w:tcPr>
          <w:p w:rsidR="000A48F2" w:rsidRPr="002B609E" w:rsidRDefault="002B609E" w:rsidP="001D00E4">
            <w:pPr>
              <w:jc w:val="center"/>
              <w:rPr>
                <w:sz w:val="28"/>
                <w:szCs w:val="28"/>
              </w:rPr>
            </w:pPr>
            <w:r w:rsidRPr="002B609E">
              <w:rPr>
                <w:sz w:val="28"/>
                <w:szCs w:val="28"/>
              </w:rPr>
              <w:t>4.</w:t>
            </w:r>
          </w:p>
        </w:tc>
        <w:tc>
          <w:tcPr>
            <w:tcW w:w="2816" w:type="dxa"/>
          </w:tcPr>
          <w:p w:rsidR="000A48F2" w:rsidRPr="002B609E" w:rsidRDefault="00DE3587" w:rsidP="001D00E4">
            <w:pPr>
              <w:jc w:val="center"/>
              <w:rPr>
                <w:sz w:val="28"/>
                <w:szCs w:val="28"/>
              </w:rPr>
            </w:pPr>
            <w:r>
              <w:rPr>
                <w:sz w:val="28"/>
                <w:szCs w:val="28"/>
              </w:rPr>
              <w:t>CHAPTER 2- REVIEW OF LITERATURE</w:t>
            </w:r>
          </w:p>
        </w:tc>
        <w:tc>
          <w:tcPr>
            <w:tcW w:w="2817" w:type="dxa"/>
          </w:tcPr>
          <w:p w:rsidR="000A48F2" w:rsidRDefault="000A48F2" w:rsidP="001D00E4">
            <w:pPr>
              <w:jc w:val="center"/>
              <w:rPr>
                <w:sz w:val="28"/>
                <w:szCs w:val="28"/>
              </w:rPr>
            </w:pPr>
          </w:p>
          <w:p w:rsidR="00A80D30" w:rsidRPr="002B609E" w:rsidRDefault="00A80D30" w:rsidP="001D00E4">
            <w:pPr>
              <w:jc w:val="center"/>
              <w:rPr>
                <w:sz w:val="28"/>
                <w:szCs w:val="28"/>
              </w:rPr>
            </w:pPr>
            <w:r>
              <w:rPr>
                <w:sz w:val="28"/>
                <w:szCs w:val="28"/>
              </w:rPr>
              <w:t>7-11</w:t>
            </w:r>
          </w:p>
        </w:tc>
      </w:tr>
      <w:tr w:rsidR="000A48F2" w:rsidRPr="002B609E" w:rsidTr="002423EC">
        <w:trPr>
          <w:trHeight w:val="870"/>
        </w:trPr>
        <w:tc>
          <w:tcPr>
            <w:tcW w:w="2816" w:type="dxa"/>
          </w:tcPr>
          <w:p w:rsidR="000A48F2" w:rsidRPr="002B609E" w:rsidRDefault="002B609E" w:rsidP="001D00E4">
            <w:pPr>
              <w:jc w:val="center"/>
              <w:rPr>
                <w:sz w:val="28"/>
                <w:szCs w:val="28"/>
              </w:rPr>
            </w:pPr>
            <w:r w:rsidRPr="002B609E">
              <w:rPr>
                <w:sz w:val="28"/>
                <w:szCs w:val="28"/>
              </w:rPr>
              <w:t>5.</w:t>
            </w:r>
          </w:p>
        </w:tc>
        <w:tc>
          <w:tcPr>
            <w:tcW w:w="2816" w:type="dxa"/>
          </w:tcPr>
          <w:p w:rsidR="000A48F2" w:rsidRPr="002B609E" w:rsidRDefault="00DE3587" w:rsidP="001D00E4">
            <w:pPr>
              <w:jc w:val="center"/>
              <w:rPr>
                <w:sz w:val="28"/>
                <w:szCs w:val="28"/>
              </w:rPr>
            </w:pPr>
            <w:r>
              <w:rPr>
                <w:sz w:val="28"/>
                <w:szCs w:val="28"/>
              </w:rPr>
              <w:t xml:space="preserve">CHAPTER 3- THEORETICAL FRAMEWORK </w:t>
            </w:r>
          </w:p>
        </w:tc>
        <w:tc>
          <w:tcPr>
            <w:tcW w:w="2817" w:type="dxa"/>
          </w:tcPr>
          <w:p w:rsidR="000A48F2" w:rsidRDefault="000A48F2" w:rsidP="001D00E4">
            <w:pPr>
              <w:jc w:val="center"/>
              <w:rPr>
                <w:sz w:val="28"/>
                <w:szCs w:val="28"/>
              </w:rPr>
            </w:pPr>
          </w:p>
          <w:p w:rsidR="00A80D30" w:rsidRPr="002B609E" w:rsidRDefault="00A80D30" w:rsidP="001D00E4">
            <w:pPr>
              <w:jc w:val="center"/>
              <w:rPr>
                <w:sz w:val="28"/>
                <w:szCs w:val="28"/>
              </w:rPr>
            </w:pPr>
            <w:r>
              <w:rPr>
                <w:sz w:val="28"/>
                <w:szCs w:val="28"/>
              </w:rPr>
              <w:t>12-22</w:t>
            </w:r>
          </w:p>
        </w:tc>
      </w:tr>
      <w:tr w:rsidR="000A48F2" w:rsidRPr="002B609E" w:rsidTr="002423EC">
        <w:trPr>
          <w:trHeight w:val="870"/>
        </w:trPr>
        <w:tc>
          <w:tcPr>
            <w:tcW w:w="2816" w:type="dxa"/>
          </w:tcPr>
          <w:p w:rsidR="000A48F2" w:rsidRPr="002B609E" w:rsidRDefault="002B609E" w:rsidP="001D00E4">
            <w:pPr>
              <w:jc w:val="center"/>
              <w:rPr>
                <w:sz w:val="28"/>
                <w:szCs w:val="28"/>
              </w:rPr>
            </w:pPr>
            <w:r w:rsidRPr="002B609E">
              <w:rPr>
                <w:sz w:val="28"/>
                <w:szCs w:val="28"/>
              </w:rPr>
              <w:t>6.</w:t>
            </w:r>
          </w:p>
        </w:tc>
        <w:tc>
          <w:tcPr>
            <w:tcW w:w="2816" w:type="dxa"/>
          </w:tcPr>
          <w:p w:rsidR="000A48F2" w:rsidRPr="002B609E" w:rsidRDefault="00DE3587" w:rsidP="001D00E4">
            <w:pPr>
              <w:jc w:val="center"/>
              <w:rPr>
                <w:sz w:val="28"/>
                <w:szCs w:val="28"/>
              </w:rPr>
            </w:pPr>
            <w:r>
              <w:rPr>
                <w:sz w:val="28"/>
                <w:szCs w:val="28"/>
              </w:rPr>
              <w:t>CHAPTER 4- DATA ANALYSIS AND INTERPRETATION</w:t>
            </w:r>
          </w:p>
        </w:tc>
        <w:tc>
          <w:tcPr>
            <w:tcW w:w="2817" w:type="dxa"/>
          </w:tcPr>
          <w:p w:rsidR="00A80D30" w:rsidRDefault="00A80D30" w:rsidP="001D00E4">
            <w:pPr>
              <w:jc w:val="center"/>
              <w:rPr>
                <w:sz w:val="28"/>
                <w:szCs w:val="28"/>
              </w:rPr>
            </w:pPr>
          </w:p>
          <w:p w:rsidR="000A48F2" w:rsidRPr="002B609E" w:rsidRDefault="00A80D30" w:rsidP="001D00E4">
            <w:pPr>
              <w:jc w:val="center"/>
              <w:rPr>
                <w:sz w:val="28"/>
                <w:szCs w:val="28"/>
              </w:rPr>
            </w:pPr>
            <w:r>
              <w:rPr>
                <w:sz w:val="28"/>
                <w:szCs w:val="28"/>
              </w:rPr>
              <w:t>23-55</w:t>
            </w:r>
          </w:p>
        </w:tc>
      </w:tr>
      <w:tr w:rsidR="002B609E" w:rsidRPr="002B609E" w:rsidTr="002423EC">
        <w:trPr>
          <w:trHeight w:val="870"/>
        </w:trPr>
        <w:tc>
          <w:tcPr>
            <w:tcW w:w="2816" w:type="dxa"/>
          </w:tcPr>
          <w:p w:rsidR="002B609E" w:rsidRPr="002B609E" w:rsidRDefault="002B609E" w:rsidP="001D00E4">
            <w:pPr>
              <w:jc w:val="center"/>
              <w:rPr>
                <w:sz w:val="28"/>
                <w:szCs w:val="28"/>
              </w:rPr>
            </w:pPr>
            <w:r w:rsidRPr="002B609E">
              <w:rPr>
                <w:sz w:val="28"/>
                <w:szCs w:val="28"/>
              </w:rPr>
              <w:t>7.</w:t>
            </w:r>
          </w:p>
        </w:tc>
        <w:tc>
          <w:tcPr>
            <w:tcW w:w="2816" w:type="dxa"/>
          </w:tcPr>
          <w:p w:rsidR="002B609E" w:rsidRPr="002B609E" w:rsidRDefault="00DE3587" w:rsidP="00DE3587">
            <w:pPr>
              <w:tabs>
                <w:tab w:val="left" w:pos="432"/>
              </w:tabs>
              <w:jc w:val="center"/>
              <w:rPr>
                <w:sz w:val="28"/>
                <w:szCs w:val="28"/>
              </w:rPr>
            </w:pPr>
            <w:r>
              <w:rPr>
                <w:sz w:val="28"/>
                <w:szCs w:val="28"/>
              </w:rPr>
              <w:t>CHAPTER 5- FINDINGS, RECOMMENDATIONS AND CO</w:t>
            </w:r>
            <w:r w:rsidR="004E116E">
              <w:rPr>
                <w:sz w:val="28"/>
                <w:szCs w:val="28"/>
              </w:rPr>
              <w:t>N</w:t>
            </w:r>
            <w:r>
              <w:rPr>
                <w:sz w:val="28"/>
                <w:szCs w:val="28"/>
              </w:rPr>
              <w:t>CLUSION</w:t>
            </w:r>
          </w:p>
        </w:tc>
        <w:tc>
          <w:tcPr>
            <w:tcW w:w="2817" w:type="dxa"/>
          </w:tcPr>
          <w:p w:rsidR="002B609E" w:rsidRDefault="002B609E" w:rsidP="001D00E4">
            <w:pPr>
              <w:jc w:val="center"/>
              <w:rPr>
                <w:sz w:val="28"/>
                <w:szCs w:val="28"/>
              </w:rPr>
            </w:pPr>
          </w:p>
          <w:p w:rsidR="00A80D30" w:rsidRPr="002B609E" w:rsidRDefault="00A80D30" w:rsidP="00A80D30">
            <w:pPr>
              <w:jc w:val="center"/>
              <w:rPr>
                <w:sz w:val="28"/>
                <w:szCs w:val="28"/>
              </w:rPr>
            </w:pPr>
            <w:r>
              <w:rPr>
                <w:sz w:val="28"/>
                <w:szCs w:val="28"/>
              </w:rPr>
              <w:t>56-60</w:t>
            </w:r>
          </w:p>
        </w:tc>
      </w:tr>
      <w:tr w:rsidR="002B609E" w:rsidRPr="002B609E" w:rsidTr="002423EC">
        <w:trPr>
          <w:trHeight w:val="691"/>
        </w:trPr>
        <w:tc>
          <w:tcPr>
            <w:tcW w:w="2816" w:type="dxa"/>
          </w:tcPr>
          <w:p w:rsidR="002B609E" w:rsidRPr="002B609E" w:rsidRDefault="002B609E" w:rsidP="001D00E4">
            <w:pPr>
              <w:jc w:val="center"/>
              <w:rPr>
                <w:sz w:val="28"/>
                <w:szCs w:val="28"/>
              </w:rPr>
            </w:pPr>
            <w:r w:rsidRPr="002B609E">
              <w:rPr>
                <w:sz w:val="28"/>
                <w:szCs w:val="28"/>
              </w:rPr>
              <w:t>8.</w:t>
            </w:r>
          </w:p>
        </w:tc>
        <w:tc>
          <w:tcPr>
            <w:tcW w:w="2816" w:type="dxa"/>
          </w:tcPr>
          <w:p w:rsidR="002B609E" w:rsidRPr="002B609E" w:rsidRDefault="00DE3587" w:rsidP="00DE3587">
            <w:pPr>
              <w:tabs>
                <w:tab w:val="left" w:pos="245"/>
              </w:tabs>
              <w:rPr>
                <w:sz w:val="28"/>
                <w:szCs w:val="28"/>
              </w:rPr>
            </w:pPr>
            <w:r>
              <w:rPr>
                <w:sz w:val="28"/>
                <w:szCs w:val="28"/>
              </w:rPr>
              <w:tab/>
              <w:t>BIBLIOGRAPHY</w:t>
            </w:r>
          </w:p>
        </w:tc>
        <w:tc>
          <w:tcPr>
            <w:tcW w:w="2817" w:type="dxa"/>
          </w:tcPr>
          <w:p w:rsidR="002B609E" w:rsidRPr="002B609E" w:rsidRDefault="002B609E" w:rsidP="001D00E4">
            <w:pPr>
              <w:jc w:val="center"/>
              <w:rPr>
                <w:sz w:val="28"/>
                <w:szCs w:val="28"/>
              </w:rPr>
            </w:pPr>
          </w:p>
        </w:tc>
      </w:tr>
    </w:tbl>
    <w:p w:rsidR="000A48F2" w:rsidRDefault="000A48F2" w:rsidP="001D00E4">
      <w:pPr>
        <w:jc w:val="center"/>
        <w:rPr>
          <w:b/>
          <w:bCs/>
          <w:sz w:val="28"/>
          <w:szCs w:val="28"/>
        </w:rPr>
      </w:pPr>
    </w:p>
    <w:p w:rsidR="00DE3587" w:rsidRDefault="00DE3587" w:rsidP="001D00E4">
      <w:pPr>
        <w:jc w:val="center"/>
        <w:rPr>
          <w:b/>
          <w:bCs/>
          <w:sz w:val="28"/>
          <w:szCs w:val="28"/>
        </w:rPr>
      </w:pPr>
    </w:p>
    <w:p w:rsidR="00DE3587" w:rsidRDefault="00DE3587" w:rsidP="001D00E4">
      <w:pPr>
        <w:jc w:val="center"/>
        <w:rPr>
          <w:b/>
          <w:bCs/>
          <w:sz w:val="28"/>
          <w:szCs w:val="28"/>
        </w:rPr>
      </w:pPr>
    </w:p>
    <w:p w:rsidR="002423EC" w:rsidRDefault="002423EC" w:rsidP="001D00E4">
      <w:pPr>
        <w:jc w:val="center"/>
        <w:rPr>
          <w:b/>
          <w:bCs/>
          <w:sz w:val="28"/>
          <w:szCs w:val="28"/>
        </w:rPr>
      </w:pPr>
    </w:p>
    <w:p w:rsidR="00DE3587" w:rsidRDefault="00DE3587" w:rsidP="001D00E4">
      <w:pPr>
        <w:jc w:val="center"/>
        <w:rPr>
          <w:b/>
          <w:bCs/>
          <w:sz w:val="28"/>
          <w:szCs w:val="28"/>
        </w:rPr>
      </w:pPr>
    </w:p>
    <w:p w:rsidR="00DE3587" w:rsidRDefault="00DE3587" w:rsidP="001D00E4">
      <w:pPr>
        <w:jc w:val="center"/>
        <w:rPr>
          <w:b/>
          <w:bCs/>
          <w:sz w:val="28"/>
          <w:szCs w:val="28"/>
        </w:rPr>
      </w:pPr>
    </w:p>
    <w:p w:rsidR="00DE3587" w:rsidRDefault="00DE3587" w:rsidP="001D00E4">
      <w:pPr>
        <w:jc w:val="center"/>
        <w:rPr>
          <w:b/>
          <w:bCs/>
          <w:sz w:val="28"/>
          <w:szCs w:val="28"/>
        </w:rPr>
      </w:pPr>
    </w:p>
    <w:p w:rsidR="00DE3587" w:rsidRDefault="00DE3587" w:rsidP="001D00E4">
      <w:pPr>
        <w:jc w:val="center"/>
        <w:rPr>
          <w:b/>
          <w:bCs/>
          <w:sz w:val="28"/>
          <w:szCs w:val="28"/>
        </w:rPr>
      </w:pPr>
    </w:p>
    <w:p w:rsidR="00DE3587" w:rsidRDefault="00DE3587" w:rsidP="001D00E4">
      <w:pPr>
        <w:jc w:val="center"/>
        <w:rPr>
          <w:b/>
          <w:bCs/>
          <w:sz w:val="28"/>
          <w:szCs w:val="28"/>
        </w:rPr>
      </w:pPr>
    </w:p>
    <w:p w:rsidR="00DE3587" w:rsidRDefault="00DE3587" w:rsidP="001D00E4">
      <w:pPr>
        <w:jc w:val="center"/>
        <w:rPr>
          <w:b/>
          <w:bCs/>
          <w:sz w:val="28"/>
          <w:szCs w:val="28"/>
        </w:rPr>
      </w:pPr>
    </w:p>
    <w:p w:rsidR="00DE3587" w:rsidRDefault="007F2E21" w:rsidP="001D00E4">
      <w:pPr>
        <w:jc w:val="center"/>
        <w:rPr>
          <w:b/>
          <w:bCs/>
          <w:sz w:val="32"/>
          <w:szCs w:val="32"/>
        </w:rPr>
      </w:pPr>
      <w:r>
        <w:rPr>
          <w:b/>
          <w:bCs/>
          <w:sz w:val="32"/>
          <w:szCs w:val="32"/>
        </w:rPr>
        <w:lastRenderedPageBreak/>
        <w:t>LIST OF FIGURES</w:t>
      </w:r>
    </w:p>
    <w:tbl>
      <w:tblPr>
        <w:tblStyle w:val="Footer"/>
        <w:tblW w:w="8235" w:type="dxa"/>
        <w:tblLook w:val="04A0"/>
      </w:tblPr>
      <w:tblGrid>
        <w:gridCol w:w="1549"/>
        <w:gridCol w:w="5698"/>
        <w:gridCol w:w="988"/>
      </w:tblGrid>
      <w:tr w:rsidR="007F2E21" w:rsidTr="002423EC">
        <w:trPr>
          <w:trHeight w:val="875"/>
        </w:trPr>
        <w:tc>
          <w:tcPr>
            <w:tcW w:w="1549" w:type="dxa"/>
          </w:tcPr>
          <w:p w:rsidR="007F2E21" w:rsidRPr="007F2E21" w:rsidRDefault="00BE6547" w:rsidP="001D00E4">
            <w:pPr>
              <w:jc w:val="center"/>
              <w:rPr>
                <w:b/>
                <w:bCs/>
                <w:sz w:val="28"/>
                <w:szCs w:val="28"/>
              </w:rPr>
            </w:pPr>
            <w:r>
              <w:rPr>
                <w:b/>
                <w:bCs/>
                <w:sz w:val="28"/>
                <w:szCs w:val="28"/>
              </w:rPr>
              <w:t>FIGURE</w:t>
            </w:r>
            <w:r w:rsidR="007F2E21">
              <w:rPr>
                <w:b/>
                <w:bCs/>
                <w:sz w:val="28"/>
                <w:szCs w:val="28"/>
              </w:rPr>
              <w:t xml:space="preserve"> NO</w:t>
            </w:r>
          </w:p>
        </w:tc>
        <w:tc>
          <w:tcPr>
            <w:tcW w:w="5698" w:type="dxa"/>
          </w:tcPr>
          <w:p w:rsidR="007F2E21" w:rsidRPr="007F2E21" w:rsidRDefault="007F2E21" w:rsidP="001D00E4">
            <w:pPr>
              <w:jc w:val="center"/>
              <w:rPr>
                <w:b/>
                <w:bCs/>
                <w:sz w:val="28"/>
                <w:szCs w:val="28"/>
              </w:rPr>
            </w:pPr>
            <w:r>
              <w:rPr>
                <w:b/>
                <w:bCs/>
                <w:sz w:val="28"/>
                <w:szCs w:val="28"/>
              </w:rPr>
              <w:t>TITLE</w:t>
            </w:r>
          </w:p>
        </w:tc>
        <w:tc>
          <w:tcPr>
            <w:tcW w:w="988" w:type="dxa"/>
          </w:tcPr>
          <w:p w:rsidR="007F2E21" w:rsidRPr="007F2E21" w:rsidRDefault="007F2E21" w:rsidP="001D00E4">
            <w:pPr>
              <w:jc w:val="center"/>
              <w:rPr>
                <w:b/>
                <w:bCs/>
                <w:sz w:val="28"/>
                <w:szCs w:val="28"/>
              </w:rPr>
            </w:pPr>
            <w:r>
              <w:rPr>
                <w:b/>
                <w:bCs/>
                <w:sz w:val="28"/>
                <w:szCs w:val="28"/>
              </w:rPr>
              <w:t>PAGE NO.</w:t>
            </w:r>
          </w:p>
        </w:tc>
      </w:tr>
      <w:tr w:rsidR="007F2E21" w:rsidTr="002423EC">
        <w:trPr>
          <w:trHeight w:val="437"/>
        </w:trPr>
        <w:tc>
          <w:tcPr>
            <w:tcW w:w="1549" w:type="dxa"/>
          </w:tcPr>
          <w:p w:rsidR="007F2E21" w:rsidRPr="007F2E21" w:rsidRDefault="007F2E21" w:rsidP="00BE7327">
            <w:pPr>
              <w:rPr>
                <w:sz w:val="28"/>
                <w:szCs w:val="28"/>
              </w:rPr>
            </w:pPr>
            <w:r w:rsidRPr="007F2E21">
              <w:rPr>
                <w:sz w:val="28"/>
                <w:szCs w:val="28"/>
              </w:rPr>
              <w:t>4.1</w:t>
            </w:r>
          </w:p>
        </w:tc>
        <w:tc>
          <w:tcPr>
            <w:tcW w:w="5698" w:type="dxa"/>
          </w:tcPr>
          <w:p w:rsidR="007F2E21" w:rsidRPr="007F2E21" w:rsidRDefault="007F2E21" w:rsidP="00BE7327">
            <w:pPr>
              <w:rPr>
                <w:sz w:val="28"/>
                <w:szCs w:val="28"/>
              </w:rPr>
            </w:pPr>
            <w:r w:rsidRPr="007F2E21">
              <w:rPr>
                <w:sz w:val="28"/>
                <w:szCs w:val="28"/>
              </w:rPr>
              <w:t>Net Profit Ratio: Hindustan Unilever</w:t>
            </w:r>
          </w:p>
        </w:tc>
        <w:tc>
          <w:tcPr>
            <w:tcW w:w="988" w:type="dxa"/>
          </w:tcPr>
          <w:p w:rsidR="007F2E21" w:rsidRPr="007F2E21" w:rsidRDefault="007F2E21" w:rsidP="001D00E4">
            <w:pPr>
              <w:jc w:val="center"/>
              <w:rPr>
                <w:sz w:val="28"/>
                <w:szCs w:val="28"/>
              </w:rPr>
            </w:pPr>
          </w:p>
        </w:tc>
      </w:tr>
      <w:tr w:rsidR="007F2E21" w:rsidTr="002423EC">
        <w:trPr>
          <w:trHeight w:val="457"/>
        </w:trPr>
        <w:tc>
          <w:tcPr>
            <w:tcW w:w="1549" w:type="dxa"/>
          </w:tcPr>
          <w:p w:rsidR="007F2E21" w:rsidRPr="007F2E21" w:rsidRDefault="007F2E21" w:rsidP="00BE7327">
            <w:pPr>
              <w:rPr>
                <w:sz w:val="28"/>
                <w:szCs w:val="28"/>
              </w:rPr>
            </w:pPr>
            <w:r w:rsidRPr="007F2E21">
              <w:rPr>
                <w:sz w:val="28"/>
                <w:szCs w:val="28"/>
              </w:rPr>
              <w:t>4.2</w:t>
            </w:r>
          </w:p>
        </w:tc>
        <w:tc>
          <w:tcPr>
            <w:tcW w:w="5698" w:type="dxa"/>
          </w:tcPr>
          <w:p w:rsidR="007F2E21" w:rsidRPr="007F2E21" w:rsidRDefault="007F2E21" w:rsidP="00BE7327">
            <w:pPr>
              <w:rPr>
                <w:sz w:val="28"/>
                <w:szCs w:val="28"/>
              </w:rPr>
            </w:pPr>
            <w:r w:rsidRPr="007F2E21">
              <w:rPr>
                <w:sz w:val="28"/>
                <w:szCs w:val="28"/>
              </w:rPr>
              <w:t>Net Profit Ratio: Indian Tobacco Company</w:t>
            </w:r>
          </w:p>
        </w:tc>
        <w:tc>
          <w:tcPr>
            <w:tcW w:w="988" w:type="dxa"/>
          </w:tcPr>
          <w:p w:rsidR="007F2E21" w:rsidRPr="007F2E21" w:rsidRDefault="007F2E21" w:rsidP="001D00E4">
            <w:pPr>
              <w:jc w:val="center"/>
              <w:rPr>
                <w:sz w:val="28"/>
                <w:szCs w:val="28"/>
              </w:rPr>
            </w:pPr>
          </w:p>
        </w:tc>
      </w:tr>
      <w:tr w:rsidR="007F2E21" w:rsidTr="002423EC">
        <w:trPr>
          <w:trHeight w:val="437"/>
        </w:trPr>
        <w:tc>
          <w:tcPr>
            <w:tcW w:w="1549" w:type="dxa"/>
          </w:tcPr>
          <w:p w:rsidR="007F2E21" w:rsidRPr="007F2E21" w:rsidRDefault="007F2E21" w:rsidP="00BE7327">
            <w:pPr>
              <w:rPr>
                <w:sz w:val="28"/>
                <w:szCs w:val="28"/>
              </w:rPr>
            </w:pPr>
            <w:r w:rsidRPr="007F2E21">
              <w:rPr>
                <w:sz w:val="28"/>
                <w:szCs w:val="28"/>
              </w:rPr>
              <w:t>4.3</w:t>
            </w:r>
          </w:p>
        </w:tc>
        <w:tc>
          <w:tcPr>
            <w:tcW w:w="5698" w:type="dxa"/>
          </w:tcPr>
          <w:p w:rsidR="007F2E21" w:rsidRPr="007F2E21" w:rsidRDefault="007F2E21" w:rsidP="00BE7327">
            <w:pPr>
              <w:rPr>
                <w:sz w:val="28"/>
                <w:szCs w:val="28"/>
              </w:rPr>
            </w:pPr>
            <w:r w:rsidRPr="007F2E21">
              <w:rPr>
                <w:sz w:val="28"/>
                <w:szCs w:val="28"/>
              </w:rPr>
              <w:t>Net Profit Ratio: Colgate-Palmolive</w:t>
            </w:r>
          </w:p>
        </w:tc>
        <w:tc>
          <w:tcPr>
            <w:tcW w:w="988" w:type="dxa"/>
          </w:tcPr>
          <w:p w:rsidR="007F2E21" w:rsidRPr="007F2E21" w:rsidRDefault="007F2E21" w:rsidP="001D00E4">
            <w:pPr>
              <w:jc w:val="center"/>
              <w:rPr>
                <w:sz w:val="28"/>
                <w:szCs w:val="28"/>
              </w:rPr>
            </w:pPr>
          </w:p>
        </w:tc>
      </w:tr>
      <w:tr w:rsidR="007F2E21" w:rsidTr="002423EC">
        <w:trPr>
          <w:trHeight w:val="437"/>
        </w:trPr>
        <w:tc>
          <w:tcPr>
            <w:tcW w:w="1549" w:type="dxa"/>
          </w:tcPr>
          <w:p w:rsidR="007F2E21" w:rsidRPr="007F2E21" w:rsidRDefault="007F2E21" w:rsidP="00BE7327">
            <w:pPr>
              <w:rPr>
                <w:sz w:val="28"/>
                <w:szCs w:val="28"/>
              </w:rPr>
            </w:pPr>
            <w:r w:rsidRPr="007F2E21">
              <w:rPr>
                <w:sz w:val="28"/>
                <w:szCs w:val="28"/>
              </w:rPr>
              <w:t>4.4</w:t>
            </w:r>
          </w:p>
        </w:tc>
        <w:tc>
          <w:tcPr>
            <w:tcW w:w="5698" w:type="dxa"/>
          </w:tcPr>
          <w:p w:rsidR="007F2E21" w:rsidRPr="007F2E21" w:rsidRDefault="007F2E21" w:rsidP="00BE7327">
            <w:pPr>
              <w:rPr>
                <w:sz w:val="28"/>
                <w:szCs w:val="28"/>
              </w:rPr>
            </w:pPr>
            <w:r w:rsidRPr="007F2E21">
              <w:rPr>
                <w:sz w:val="28"/>
                <w:szCs w:val="28"/>
              </w:rPr>
              <w:t>Net Profit Ratio:Britannia</w:t>
            </w:r>
          </w:p>
        </w:tc>
        <w:tc>
          <w:tcPr>
            <w:tcW w:w="988" w:type="dxa"/>
          </w:tcPr>
          <w:p w:rsidR="007F2E21" w:rsidRPr="007F2E21" w:rsidRDefault="007F2E21" w:rsidP="001D00E4">
            <w:pPr>
              <w:jc w:val="center"/>
              <w:rPr>
                <w:sz w:val="28"/>
                <w:szCs w:val="28"/>
              </w:rPr>
            </w:pPr>
          </w:p>
        </w:tc>
      </w:tr>
      <w:tr w:rsidR="007F2E21" w:rsidTr="002423EC">
        <w:trPr>
          <w:trHeight w:val="437"/>
        </w:trPr>
        <w:tc>
          <w:tcPr>
            <w:tcW w:w="1549" w:type="dxa"/>
          </w:tcPr>
          <w:p w:rsidR="007F2E21" w:rsidRPr="007F2E21" w:rsidRDefault="007F2E21" w:rsidP="00BE7327">
            <w:pPr>
              <w:rPr>
                <w:sz w:val="28"/>
                <w:szCs w:val="28"/>
              </w:rPr>
            </w:pPr>
            <w:r w:rsidRPr="007F2E21">
              <w:rPr>
                <w:sz w:val="28"/>
                <w:szCs w:val="28"/>
              </w:rPr>
              <w:t>4.5</w:t>
            </w:r>
          </w:p>
        </w:tc>
        <w:tc>
          <w:tcPr>
            <w:tcW w:w="5698" w:type="dxa"/>
          </w:tcPr>
          <w:p w:rsidR="007F2E21" w:rsidRPr="007F2E21" w:rsidRDefault="007F2E21" w:rsidP="00BE7327">
            <w:pPr>
              <w:rPr>
                <w:sz w:val="28"/>
                <w:szCs w:val="28"/>
              </w:rPr>
            </w:pPr>
            <w:r w:rsidRPr="007F2E21">
              <w:rPr>
                <w:sz w:val="28"/>
                <w:szCs w:val="28"/>
              </w:rPr>
              <w:t>Net Profit Ratio: Dabur</w:t>
            </w:r>
          </w:p>
        </w:tc>
        <w:tc>
          <w:tcPr>
            <w:tcW w:w="988" w:type="dxa"/>
          </w:tcPr>
          <w:p w:rsidR="007F2E21" w:rsidRPr="007F2E21" w:rsidRDefault="007F2E21" w:rsidP="001D00E4">
            <w:pPr>
              <w:jc w:val="center"/>
              <w:rPr>
                <w:sz w:val="28"/>
                <w:szCs w:val="28"/>
              </w:rPr>
            </w:pPr>
          </w:p>
        </w:tc>
      </w:tr>
      <w:tr w:rsidR="007F2E21" w:rsidTr="002423EC">
        <w:trPr>
          <w:trHeight w:val="437"/>
        </w:trPr>
        <w:tc>
          <w:tcPr>
            <w:tcW w:w="1549" w:type="dxa"/>
          </w:tcPr>
          <w:p w:rsidR="007F2E21" w:rsidRPr="007F2E21" w:rsidRDefault="00BE7327" w:rsidP="00BE7327">
            <w:pPr>
              <w:rPr>
                <w:sz w:val="28"/>
                <w:szCs w:val="28"/>
              </w:rPr>
            </w:pPr>
            <w:r>
              <w:rPr>
                <w:sz w:val="28"/>
                <w:szCs w:val="28"/>
              </w:rPr>
              <w:t>4.6</w:t>
            </w:r>
          </w:p>
        </w:tc>
        <w:tc>
          <w:tcPr>
            <w:tcW w:w="5698" w:type="dxa"/>
          </w:tcPr>
          <w:p w:rsidR="007F2E21" w:rsidRPr="00BE7327" w:rsidRDefault="00BE7327" w:rsidP="00BE7327">
            <w:pPr>
              <w:tabs>
                <w:tab w:val="left" w:pos="5034"/>
              </w:tabs>
              <w:rPr>
                <w:sz w:val="28"/>
                <w:szCs w:val="28"/>
              </w:rPr>
            </w:pPr>
            <w:r w:rsidRPr="00BE7327">
              <w:rPr>
                <w:sz w:val="28"/>
                <w:szCs w:val="28"/>
              </w:rPr>
              <w:t>Operating Profit ratio: Hindustan Unilever</w:t>
            </w:r>
          </w:p>
        </w:tc>
        <w:tc>
          <w:tcPr>
            <w:tcW w:w="988" w:type="dxa"/>
          </w:tcPr>
          <w:p w:rsidR="007F2E21" w:rsidRPr="007F2E21" w:rsidRDefault="007F2E21" w:rsidP="001D00E4">
            <w:pPr>
              <w:jc w:val="center"/>
              <w:rPr>
                <w:sz w:val="28"/>
                <w:szCs w:val="28"/>
              </w:rPr>
            </w:pPr>
          </w:p>
        </w:tc>
      </w:tr>
      <w:tr w:rsidR="007F2E21" w:rsidTr="002423EC">
        <w:trPr>
          <w:trHeight w:val="437"/>
        </w:trPr>
        <w:tc>
          <w:tcPr>
            <w:tcW w:w="1549" w:type="dxa"/>
          </w:tcPr>
          <w:p w:rsidR="007F2E21" w:rsidRPr="007F2E21" w:rsidRDefault="00BE7327" w:rsidP="00BE7327">
            <w:pPr>
              <w:rPr>
                <w:sz w:val="28"/>
                <w:szCs w:val="28"/>
              </w:rPr>
            </w:pPr>
            <w:r>
              <w:rPr>
                <w:sz w:val="28"/>
                <w:szCs w:val="28"/>
              </w:rPr>
              <w:t>4.7</w:t>
            </w:r>
          </w:p>
        </w:tc>
        <w:tc>
          <w:tcPr>
            <w:tcW w:w="5698" w:type="dxa"/>
          </w:tcPr>
          <w:p w:rsidR="007F2E21" w:rsidRPr="00BE7327" w:rsidRDefault="00BE7327" w:rsidP="00BE7327">
            <w:pPr>
              <w:rPr>
                <w:sz w:val="28"/>
                <w:szCs w:val="28"/>
              </w:rPr>
            </w:pPr>
            <w:r w:rsidRPr="00BE7327">
              <w:rPr>
                <w:sz w:val="28"/>
                <w:szCs w:val="28"/>
              </w:rPr>
              <w:t>Operating profit ratio: ITC</w:t>
            </w:r>
          </w:p>
        </w:tc>
        <w:tc>
          <w:tcPr>
            <w:tcW w:w="988" w:type="dxa"/>
          </w:tcPr>
          <w:p w:rsidR="007F2E21" w:rsidRPr="007F2E21" w:rsidRDefault="007F2E21"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4.8</w:t>
            </w:r>
          </w:p>
        </w:tc>
        <w:tc>
          <w:tcPr>
            <w:tcW w:w="5698" w:type="dxa"/>
          </w:tcPr>
          <w:p w:rsidR="00BE7327" w:rsidRPr="00BE7327" w:rsidRDefault="00BE7327" w:rsidP="00BE7327">
            <w:pPr>
              <w:rPr>
                <w:sz w:val="28"/>
                <w:szCs w:val="28"/>
              </w:rPr>
            </w:pPr>
            <w:r w:rsidRPr="00BE7327">
              <w:rPr>
                <w:sz w:val="28"/>
                <w:szCs w:val="28"/>
              </w:rPr>
              <w:t>Operating profit ratio: Colgate-Palmolive</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4.9</w:t>
            </w:r>
          </w:p>
        </w:tc>
        <w:tc>
          <w:tcPr>
            <w:tcW w:w="5698" w:type="dxa"/>
          </w:tcPr>
          <w:p w:rsidR="00BE7327" w:rsidRPr="00BE7327" w:rsidRDefault="00BE7327" w:rsidP="00BE7327">
            <w:pPr>
              <w:rPr>
                <w:sz w:val="28"/>
                <w:szCs w:val="28"/>
              </w:rPr>
            </w:pPr>
            <w:r w:rsidRPr="00BE7327">
              <w:rPr>
                <w:sz w:val="28"/>
                <w:szCs w:val="28"/>
              </w:rPr>
              <w:t>Operating profit ratio: Britannia</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4.10</w:t>
            </w:r>
          </w:p>
        </w:tc>
        <w:tc>
          <w:tcPr>
            <w:tcW w:w="5698" w:type="dxa"/>
          </w:tcPr>
          <w:p w:rsidR="00BE7327" w:rsidRPr="00BE7327" w:rsidRDefault="00BE7327" w:rsidP="00BE7327">
            <w:pPr>
              <w:rPr>
                <w:sz w:val="28"/>
                <w:szCs w:val="28"/>
              </w:rPr>
            </w:pPr>
            <w:r w:rsidRPr="00BE7327">
              <w:rPr>
                <w:sz w:val="28"/>
                <w:szCs w:val="28"/>
              </w:rPr>
              <w:t>Operating Profit ratio: Dabur</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4.11</w:t>
            </w:r>
          </w:p>
        </w:tc>
        <w:tc>
          <w:tcPr>
            <w:tcW w:w="5698" w:type="dxa"/>
          </w:tcPr>
          <w:p w:rsidR="00BE7327" w:rsidRPr="00BE7327" w:rsidRDefault="00BE7327" w:rsidP="00BE7327">
            <w:pPr>
              <w:rPr>
                <w:sz w:val="28"/>
                <w:szCs w:val="28"/>
              </w:rPr>
            </w:pPr>
            <w:r w:rsidRPr="00BE7327">
              <w:rPr>
                <w:sz w:val="28"/>
                <w:szCs w:val="28"/>
              </w:rPr>
              <w:t>Figure showing EPS: Hindustan Unilever</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4.12</w:t>
            </w:r>
          </w:p>
        </w:tc>
        <w:tc>
          <w:tcPr>
            <w:tcW w:w="5698" w:type="dxa"/>
          </w:tcPr>
          <w:p w:rsidR="00BE7327" w:rsidRPr="00BE7327" w:rsidRDefault="00BE7327" w:rsidP="00BE7327">
            <w:pPr>
              <w:rPr>
                <w:sz w:val="28"/>
                <w:szCs w:val="28"/>
              </w:rPr>
            </w:pPr>
            <w:r w:rsidRPr="00BE7327">
              <w:rPr>
                <w:sz w:val="28"/>
                <w:szCs w:val="28"/>
              </w:rPr>
              <w:t>Figure showing EPS: ITC</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4.13</w:t>
            </w:r>
          </w:p>
        </w:tc>
        <w:tc>
          <w:tcPr>
            <w:tcW w:w="5698" w:type="dxa"/>
          </w:tcPr>
          <w:p w:rsidR="00BE7327" w:rsidRPr="00BE7327" w:rsidRDefault="00BE7327" w:rsidP="00BE7327">
            <w:pPr>
              <w:rPr>
                <w:sz w:val="28"/>
                <w:szCs w:val="28"/>
              </w:rPr>
            </w:pPr>
            <w:r w:rsidRPr="00BE7327">
              <w:rPr>
                <w:sz w:val="28"/>
                <w:szCs w:val="28"/>
              </w:rPr>
              <w:t>Figure showing EPS: Colgate-Palmolive</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4.14</w:t>
            </w:r>
          </w:p>
        </w:tc>
        <w:tc>
          <w:tcPr>
            <w:tcW w:w="5698" w:type="dxa"/>
          </w:tcPr>
          <w:p w:rsidR="00BE7327" w:rsidRPr="00BE7327" w:rsidRDefault="00BE7327" w:rsidP="00BE7327">
            <w:pPr>
              <w:rPr>
                <w:sz w:val="28"/>
                <w:szCs w:val="28"/>
              </w:rPr>
            </w:pPr>
            <w:r w:rsidRPr="00BE7327">
              <w:rPr>
                <w:sz w:val="28"/>
                <w:szCs w:val="28"/>
              </w:rPr>
              <w:t>Figure showing EPS: Britannia</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Pr="007F2E21" w:rsidRDefault="00BE7327" w:rsidP="00BE7327">
            <w:pPr>
              <w:rPr>
                <w:sz w:val="28"/>
                <w:szCs w:val="28"/>
              </w:rPr>
            </w:pPr>
            <w:r>
              <w:rPr>
                <w:sz w:val="28"/>
                <w:szCs w:val="28"/>
              </w:rPr>
              <w:t>4.15</w:t>
            </w:r>
          </w:p>
        </w:tc>
        <w:tc>
          <w:tcPr>
            <w:tcW w:w="5698" w:type="dxa"/>
          </w:tcPr>
          <w:p w:rsidR="00BE7327" w:rsidRPr="00BE7327" w:rsidRDefault="00BE7327" w:rsidP="00BE7327">
            <w:pPr>
              <w:rPr>
                <w:sz w:val="28"/>
                <w:szCs w:val="28"/>
              </w:rPr>
            </w:pPr>
            <w:r w:rsidRPr="00BE7327">
              <w:rPr>
                <w:sz w:val="28"/>
                <w:szCs w:val="28"/>
              </w:rPr>
              <w:t>Figure showing EPS: Dabur</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Default="00BE7327" w:rsidP="00BE7327">
            <w:pPr>
              <w:rPr>
                <w:sz w:val="28"/>
                <w:szCs w:val="28"/>
              </w:rPr>
            </w:pPr>
            <w:r>
              <w:rPr>
                <w:sz w:val="28"/>
                <w:szCs w:val="28"/>
              </w:rPr>
              <w:t>4.16</w:t>
            </w:r>
          </w:p>
        </w:tc>
        <w:tc>
          <w:tcPr>
            <w:tcW w:w="5698" w:type="dxa"/>
          </w:tcPr>
          <w:p w:rsidR="00BE7327" w:rsidRPr="00AB2C69" w:rsidRDefault="00BE7327" w:rsidP="00BE7327">
            <w:pPr>
              <w:rPr>
                <w:sz w:val="28"/>
                <w:szCs w:val="28"/>
              </w:rPr>
            </w:pPr>
            <w:r w:rsidRPr="00AB2C69">
              <w:rPr>
                <w:sz w:val="28"/>
                <w:szCs w:val="28"/>
              </w:rPr>
              <w:t>Shareholding Pattern: Hindustan Unilever</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Default="00BE7327" w:rsidP="00BE7327">
            <w:pPr>
              <w:rPr>
                <w:sz w:val="28"/>
                <w:szCs w:val="28"/>
              </w:rPr>
            </w:pPr>
            <w:r>
              <w:rPr>
                <w:sz w:val="28"/>
                <w:szCs w:val="28"/>
              </w:rPr>
              <w:t>4.17</w:t>
            </w:r>
          </w:p>
        </w:tc>
        <w:tc>
          <w:tcPr>
            <w:tcW w:w="5698" w:type="dxa"/>
          </w:tcPr>
          <w:p w:rsidR="00BE7327" w:rsidRPr="00AB2C69" w:rsidRDefault="00BE7327" w:rsidP="00BE7327">
            <w:pPr>
              <w:rPr>
                <w:sz w:val="28"/>
                <w:szCs w:val="28"/>
              </w:rPr>
            </w:pPr>
            <w:r w:rsidRPr="00AB2C69">
              <w:rPr>
                <w:sz w:val="28"/>
                <w:szCs w:val="28"/>
              </w:rPr>
              <w:t>Shareholding Pattern: ITC</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Default="00BE7327" w:rsidP="00BE7327">
            <w:pPr>
              <w:rPr>
                <w:sz w:val="28"/>
                <w:szCs w:val="28"/>
              </w:rPr>
            </w:pPr>
            <w:r>
              <w:rPr>
                <w:sz w:val="28"/>
                <w:szCs w:val="28"/>
              </w:rPr>
              <w:t>4.18</w:t>
            </w:r>
          </w:p>
        </w:tc>
        <w:tc>
          <w:tcPr>
            <w:tcW w:w="5698" w:type="dxa"/>
          </w:tcPr>
          <w:p w:rsidR="00BE7327" w:rsidRPr="00AB2C69" w:rsidRDefault="00AB2C69" w:rsidP="00BE7327">
            <w:pPr>
              <w:rPr>
                <w:sz w:val="28"/>
                <w:szCs w:val="28"/>
              </w:rPr>
            </w:pPr>
            <w:r w:rsidRPr="00AB2C69">
              <w:rPr>
                <w:sz w:val="28"/>
                <w:szCs w:val="28"/>
              </w:rPr>
              <w:t>Shareholding Pattern: Colgate-Palmolive</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Default="00BE7327" w:rsidP="00BE7327">
            <w:pPr>
              <w:rPr>
                <w:sz w:val="28"/>
                <w:szCs w:val="28"/>
              </w:rPr>
            </w:pPr>
            <w:r>
              <w:rPr>
                <w:sz w:val="28"/>
                <w:szCs w:val="28"/>
              </w:rPr>
              <w:t>4.19</w:t>
            </w:r>
          </w:p>
        </w:tc>
        <w:tc>
          <w:tcPr>
            <w:tcW w:w="5698" w:type="dxa"/>
          </w:tcPr>
          <w:p w:rsidR="00BE7327" w:rsidRPr="00AB2C69" w:rsidRDefault="00AB2C69" w:rsidP="00BE7327">
            <w:pPr>
              <w:rPr>
                <w:sz w:val="28"/>
                <w:szCs w:val="28"/>
              </w:rPr>
            </w:pPr>
            <w:r w:rsidRPr="00AB2C69">
              <w:rPr>
                <w:sz w:val="28"/>
                <w:szCs w:val="28"/>
              </w:rPr>
              <w:t>Shareholding Pattern: Britannia</w:t>
            </w:r>
          </w:p>
        </w:tc>
        <w:tc>
          <w:tcPr>
            <w:tcW w:w="988" w:type="dxa"/>
          </w:tcPr>
          <w:p w:rsidR="00BE7327" w:rsidRPr="007F2E21" w:rsidRDefault="00BE7327" w:rsidP="001D00E4">
            <w:pPr>
              <w:jc w:val="center"/>
              <w:rPr>
                <w:sz w:val="28"/>
                <w:szCs w:val="28"/>
              </w:rPr>
            </w:pPr>
          </w:p>
        </w:tc>
      </w:tr>
      <w:tr w:rsidR="00BE7327" w:rsidTr="002423EC">
        <w:trPr>
          <w:trHeight w:val="437"/>
        </w:trPr>
        <w:tc>
          <w:tcPr>
            <w:tcW w:w="1549" w:type="dxa"/>
          </w:tcPr>
          <w:p w:rsidR="00BE7327" w:rsidRDefault="00BE7327" w:rsidP="00BE7327">
            <w:pPr>
              <w:rPr>
                <w:sz w:val="28"/>
                <w:szCs w:val="28"/>
              </w:rPr>
            </w:pPr>
            <w:r>
              <w:rPr>
                <w:sz w:val="28"/>
                <w:szCs w:val="28"/>
              </w:rPr>
              <w:t>4.20</w:t>
            </w:r>
          </w:p>
        </w:tc>
        <w:tc>
          <w:tcPr>
            <w:tcW w:w="5698" w:type="dxa"/>
          </w:tcPr>
          <w:p w:rsidR="00BE7327" w:rsidRPr="00AB2C69" w:rsidRDefault="00AB2C69" w:rsidP="00BE7327">
            <w:pPr>
              <w:rPr>
                <w:sz w:val="28"/>
                <w:szCs w:val="28"/>
              </w:rPr>
            </w:pPr>
            <w:r w:rsidRPr="00AB2C69">
              <w:rPr>
                <w:sz w:val="28"/>
                <w:szCs w:val="28"/>
              </w:rPr>
              <w:t>Shareholding Pattern: Dabur</w:t>
            </w:r>
          </w:p>
        </w:tc>
        <w:tc>
          <w:tcPr>
            <w:tcW w:w="988" w:type="dxa"/>
          </w:tcPr>
          <w:p w:rsidR="00BE7327" w:rsidRPr="007F2E21" w:rsidRDefault="00BE7327" w:rsidP="001D00E4">
            <w:pPr>
              <w:jc w:val="center"/>
              <w:rPr>
                <w:sz w:val="28"/>
                <w:szCs w:val="28"/>
              </w:rPr>
            </w:pPr>
          </w:p>
        </w:tc>
      </w:tr>
      <w:tr w:rsidR="00AB2C69" w:rsidTr="002423EC">
        <w:trPr>
          <w:trHeight w:val="894"/>
        </w:trPr>
        <w:tc>
          <w:tcPr>
            <w:tcW w:w="1549" w:type="dxa"/>
          </w:tcPr>
          <w:p w:rsidR="00AB2C69" w:rsidRDefault="00AB2C69" w:rsidP="00BE7327">
            <w:pPr>
              <w:rPr>
                <w:sz w:val="28"/>
                <w:szCs w:val="28"/>
              </w:rPr>
            </w:pPr>
            <w:r>
              <w:rPr>
                <w:sz w:val="28"/>
                <w:szCs w:val="28"/>
              </w:rPr>
              <w:t>4.21</w:t>
            </w:r>
          </w:p>
        </w:tc>
        <w:tc>
          <w:tcPr>
            <w:tcW w:w="5698" w:type="dxa"/>
          </w:tcPr>
          <w:p w:rsidR="00AB2C69" w:rsidRPr="00AB2C69" w:rsidRDefault="00AB2C69" w:rsidP="00BE7327">
            <w:pPr>
              <w:rPr>
                <w:sz w:val="28"/>
                <w:szCs w:val="28"/>
              </w:rPr>
            </w:pPr>
            <w:r w:rsidRPr="00AB2C69">
              <w:rPr>
                <w:sz w:val="28"/>
                <w:szCs w:val="28"/>
              </w:rPr>
              <w:t>Figure showing Trend percentages</w:t>
            </w:r>
            <w:r w:rsidR="00CE4275">
              <w:rPr>
                <w:sz w:val="28"/>
                <w:szCs w:val="28"/>
              </w:rPr>
              <w:t xml:space="preserve"> of 5 companies </w:t>
            </w:r>
          </w:p>
        </w:tc>
        <w:tc>
          <w:tcPr>
            <w:tcW w:w="988" w:type="dxa"/>
          </w:tcPr>
          <w:p w:rsidR="00AB2C69" w:rsidRPr="007F2E21" w:rsidRDefault="00AB2C69" w:rsidP="001D00E4">
            <w:pPr>
              <w:jc w:val="center"/>
              <w:rPr>
                <w:sz w:val="28"/>
                <w:szCs w:val="28"/>
              </w:rPr>
            </w:pPr>
          </w:p>
        </w:tc>
      </w:tr>
    </w:tbl>
    <w:p w:rsidR="00CE4275" w:rsidRDefault="00CE4275" w:rsidP="001D00E4">
      <w:pPr>
        <w:jc w:val="center"/>
        <w:rPr>
          <w:b/>
          <w:bCs/>
          <w:sz w:val="32"/>
          <w:szCs w:val="32"/>
        </w:rPr>
      </w:pPr>
    </w:p>
    <w:p w:rsidR="00CE4275" w:rsidRDefault="00CE4275" w:rsidP="001D00E4">
      <w:pPr>
        <w:jc w:val="center"/>
        <w:rPr>
          <w:b/>
          <w:bCs/>
          <w:sz w:val="32"/>
          <w:szCs w:val="32"/>
        </w:rPr>
      </w:pPr>
    </w:p>
    <w:p w:rsidR="00CE4275" w:rsidRDefault="00CE4275" w:rsidP="001D00E4">
      <w:pPr>
        <w:jc w:val="center"/>
        <w:rPr>
          <w:b/>
          <w:bCs/>
          <w:sz w:val="32"/>
          <w:szCs w:val="32"/>
        </w:rPr>
      </w:pPr>
    </w:p>
    <w:p w:rsidR="00CE4275" w:rsidRDefault="00CE4275" w:rsidP="001D00E4">
      <w:pPr>
        <w:jc w:val="center"/>
        <w:rPr>
          <w:b/>
          <w:bCs/>
          <w:sz w:val="32"/>
          <w:szCs w:val="32"/>
        </w:rPr>
      </w:pPr>
    </w:p>
    <w:p w:rsidR="00CE4275" w:rsidRDefault="00CE4275" w:rsidP="001D00E4">
      <w:pPr>
        <w:jc w:val="center"/>
        <w:rPr>
          <w:b/>
          <w:bCs/>
          <w:sz w:val="32"/>
          <w:szCs w:val="32"/>
        </w:rPr>
      </w:pPr>
    </w:p>
    <w:p w:rsidR="007F2E21" w:rsidRDefault="00AB2C69" w:rsidP="001D00E4">
      <w:pPr>
        <w:jc w:val="center"/>
        <w:rPr>
          <w:b/>
          <w:bCs/>
          <w:sz w:val="32"/>
          <w:szCs w:val="32"/>
        </w:rPr>
      </w:pPr>
      <w:r>
        <w:rPr>
          <w:b/>
          <w:bCs/>
          <w:sz w:val="32"/>
          <w:szCs w:val="32"/>
        </w:rPr>
        <w:lastRenderedPageBreak/>
        <w:t>LIST OF TABLES</w:t>
      </w:r>
    </w:p>
    <w:tbl>
      <w:tblPr>
        <w:tblStyle w:val="Footer"/>
        <w:tblW w:w="0" w:type="auto"/>
        <w:tblLook w:val="04A0"/>
      </w:tblPr>
      <w:tblGrid>
        <w:gridCol w:w="1395"/>
        <w:gridCol w:w="6116"/>
        <w:gridCol w:w="1208"/>
      </w:tblGrid>
      <w:tr w:rsidR="00BE6547" w:rsidRPr="00BE6547" w:rsidTr="00BE6547">
        <w:tc>
          <w:tcPr>
            <w:tcW w:w="1413" w:type="dxa"/>
          </w:tcPr>
          <w:p w:rsidR="00BE6547" w:rsidRPr="00BE6547" w:rsidRDefault="00BE6547" w:rsidP="001D00E4">
            <w:pPr>
              <w:jc w:val="center"/>
              <w:rPr>
                <w:b/>
                <w:bCs/>
                <w:sz w:val="28"/>
                <w:szCs w:val="28"/>
              </w:rPr>
            </w:pPr>
            <w:r w:rsidRPr="00BE6547">
              <w:rPr>
                <w:b/>
                <w:bCs/>
                <w:sz w:val="28"/>
                <w:szCs w:val="28"/>
              </w:rPr>
              <w:t>TABLE NO</w:t>
            </w:r>
            <w:r>
              <w:rPr>
                <w:b/>
                <w:bCs/>
                <w:sz w:val="28"/>
                <w:szCs w:val="28"/>
              </w:rPr>
              <w:t>.</w:t>
            </w:r>
          </w:p>
        </w:tc>
        <w:tc>
          <w:tcPr>
            <w:tcW w:w="6379" w:type="dxa"/>
          </w:tcPr>
          <w:p w:rsidR="00BE6547" w:rsidRPr="00BE6547" w:rsidRDefault="00BE6547" w:rsidP="001D00E4">
            <w:pPr>
              <w:jc w:val="center"/>
              <w:rPr>
                <w:b/>
                <w:bCs/>
                <w:sz w:val="28"/>
                <w:szCs w:val="28"/>
              </w:rPr>
            </w:pPr>
            <w:r>
              <w:rPr>
                <w:b/>
                <w:bCs/>
                <w:sz w:val="28"/>
                <w:szCs w:val="28"/>
              </w:rPr>
              <w:t>TITLE</w:t>
            </w:r>
          </w:p>
        </w:tc>
        <w:tc>
          <w:tcPr>
            <w:tcW w:w="1224" w:type="dxa"/>
          </w:tcPr>
          <w:p w:rsidR="00BE6547" w:rsidRPr="00BE6547" w:rsidRDefault="00BE6547" w:rsidP="001D00E4">
            <w:pPr>
              <w:jc w:val="center"/>
              <w:rPr>
                <w:b/>
                <w:bCs/>
                <w:sz w:val="28"/>
                <w:szCs w:val="28"/>
              </w:rPr>
            </w:pPr>
            <w:r>
              <w:rPr>
                <w:b/>
                <w:bCs/>
                <w:sz w:val="28"/>
                <w:szCs w:val="28"/>
              </w:rPr>
              <w:t>PAGE NO.</w:t>
            </w: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p>
        </w:tc>
        <w:tc>
          <w:tcPr>
            <w:tcW w:w="6379" w:type="dxa"/>
          </w:tcPr>
          <w:p w:rsidR="00BE6547" w:rsidRPr="00685B3A" w:rsidRDefault="00EA7112" w:rsidP="00685B3A">
            <w:pPr>
              <w:rPr>
                <w:sz w:val="28"/>
                <w:szCs w:val="28"/>
              </w:rPr>
            </w:pPr>
            <w:r w:rsidRPr="00685B3A">
              <w:rPr>
                <w:sz w:val="28"/>
                <w:szCs w:val="28"/>
              </w:rPr>
              <w:t xml:space="preserve">Karl </w:t>
            </w:r>
            <w:r w:rsidR="00311455">
              <w:rPr>
                <w:sz w:val="28"/>
                <w:szCs w:val="28"/>
              </w:rPr>
              <w:t>P</w:t>
            </w:r>
            <w:r w:rsidRPr="00685B3A">
              <w:rPr>
                <w:sz w:val="28"/>
                <w:szCs w:val="28"/>
              </w:rPr>
              <w:t>earson’s coefficient correlation between quarterly results and the share price movements: Hindustan Unilever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w:t>
            </w:r>
          </w:p>
        </w:tc>
        <w:tc>
          <w:tcPr>
            <w:tcW w:w="6379" w:type="dxa"/>
          </w:tcPr>
          <w:p w:rsidR="00BE6547" w:rsidRPr="00685B3A" w:rsidRDefault="00EA7112" w:rsidP="00685B3A">
            <w:pPr>
              <w:rPr>
                <w:sz w:val="28"/>
                <w:szCs w:val="28"/>
              </w:rPr>
            </w:pPr>
            <w:r w:rsidRPr="00685B3A">
              <w:rPr>
                <w:sz w:val="28"/>
                <w:szCs w:val="28"/>
              </w:rPr>
              <w:t xml:space="preserve">Karl Pearson’s coefficient of correlation between quarterly results and share prices: ITC </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4.3</w:t>
            </w:r>
          </w:p>
        </w:tc>
        <w:tc>
          <w:tcPr>
            <w:tcW w:w="6379" w:type="dxa"/>
          </w:tcPr>
          <w:p w:rsidR="00BE6547" w:rsidRPr="00685B3A" w:rsidRDefault="00EA7112" w:rsidP="00685B3A">
            <w:pPr>
              <w:rPr>
                <w:sz w:val="28"/>
                <w:szCs w:val="28"/>
              </w:rPr>
            </w:pPr>
            <w:r w:rsidRPr="00685B3A">
              <w:rPr>
                <w:sz w:val="28"/>
                <w:szCs w:val="28"/>
              </w:rPr>
              <w:t>Karl Pearson’s coefficient of correlation between quarterly results and share prices : Colgate- Palmolive (India) Ltd.</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4.4</w:t>
            </w:r>
          </w:p>
        </w:tc>
        <w:tc>
          <w:tcPr>
            <w:tcW w:w="6379" w:type="dxa"/>
          </w:tcPr>
          <w:p w:rsidR="00EA7112" w:rsidRPr="00685B3A" w:rsidRDefault="00EA7112" w:rsidP="00685B3A">
            <w:pPr>
              <w:tabs>
                <w:tab w:val="left" w:pos="5034"/>
              </w:tabs>
              <w:rPr>
                <w:sz w:val="28"/>
                <w:szCs w:val="28"/>
              </w:rPr>
            </w:pPr>
            <w:r w:rsidRPr="00685B3A">
              <w:rPr>
                <w:sz w:val="28"/>
                <w:szCs w:val="28"/>
              </w:rPr>
              <w:t>Karl Pearson’s coefficient of correlation between quarterly results and share prices : Britannia Industries Ltd.</w:t>
            </w:r>
          </w:p>
          <w:p w:rsidR="00BE6547" w:rsidRPr="00685B3A" w:rsidRDefault="00BE6547" w:rsidP="00685B3A">
            <w:pPr>
              <w:rPr>
                <w:sz w:val="28"/>
                <w:szCs w:val="28"/>
              </w:rPr>
            </w:pP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4.5</w:t>
            </w:r>
          </w:p>
        </w:tc>
        <w:tc>
          <w:tcPr>
            <w:tcW w:w="6379" w:type="dxa"/>
          </w:tcPr>
          <w:p w:rsidR="00EA7112" w:rsidRPr="00685B3A" w:rsidRDefault="00EA7112" w:rsidP="00685B3A">
            <w:pPr>
              <w:tabs>
                <w:tab w:val="left" w:pos="5034"/>
              </w:tabs>
              <w:rPr>
                <w:sz w:val="28"/>
                <w:szCs w:val="28"/>
              </w:rPr>
            </w:pPr>
            <w:r w:rsidRPr="00685B3A">
              <w:rPr>
                <w:sz w:val="28"/>
                <w:szCs w:val="28"/>
              </w:rPr>
              <w:t>Karl Pearson’s coefficient of correlation between quarterly results and share prices: Dabur India Ltd.</w:t>
            </w:r>
          </w:p>
          <w:p w:rsidR="00BE6547" w:rsidRPr="00685B3A" w:rsidRDefault="00BE6547" w:rsidP="00685B3A">
            <w:pPr>
              <w:rPr>
                <w:sz w:val="28"/>
                <w:szCs w:val="28"/>
              </w:rPr>
            </w:pP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4.6</w:t>
            </w:r>
          </w:p>
        </w:tc>
        <w:tc>
          <w:tcPr>
            <w:tcW w:w="6379" w:type="dxa"/>
          </w:tcPr>
          <w:p w:rsidR="00BE6547" w:rsidRPr="00685B3A" w:rsidRDefault="00EA7112" w:rsidP="00685B3A">
            <w:pPr>
              <w:rPr>
                <w:sz w:val="28"/>
                <w:szCs w:val="28"/>
              </w:rPr>
            </w:pPr>
            <w:r w:rsidRPr="00685B3A">
              <w:rPr>
                <w:sz w:val="28"/>
                <w:szCs w:val="28"/>
              </w:rPr>
              <w:t>Statement showing net profit ratio: Hindustan Unilever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w:t>
            </w:r>
            <w:r w:rsidR="00DD465C" w:rsidRPr="00685B3A">
              <w:rPr>
                <w:sz w:val="28"/>
                <w:szCs w:val="28"/>
              </w:rPr>
              <w:t>7</w:t>
            </w:r>
          </w:p>
        </w:tc>
        <w:tc>
          <w:tcPr>
            <w:tcW w:w="6379" w:type="dxa"/>
          </w:tcPr>
          <w:p w:rsidR="00BE6547" w:rsidRPr="00685B3A" w:rsidRDefault="00EA7112" w:rsidP="00685B3A">
            <w:pPr>
              <w:rPr>
                <w:sz w:val="28"/>
                <w:szCs w:val="28"/>
              </w:rPr>
            </w:pPr>
            <w:r w:rsidRPr="00685B3A">
              <w:rPr>
                <w:sz w:val="28"/>
                <w:szCs w:val="28"/>
              </w:rPr>
              <w:t>Statement showing net profit ratio: ITC</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w:t>
            </w:r>
            <w:r w:rsidR="00DD465C" w:rsidRPr="00685B3A">
              <w:rPr>
                <w:sz w:val="28"/>
                <w:szCs w:val="28"/>
              </w:rPr>
              <w:t>8</w:t>
            </w:r>
          </w:p>
        </w:tc>
        <w:tc>
          <w:tcPr>
            <w:tcW w:w="6379" w:type="dxa"/>
          </w:tcPr>
          <w:p w:rsidR="00BE6547" w:rsidRPr="00685B3A" w:rsidRDefault="00EA7112" w:rsidP="00685B3A">
            <w:pPr>
              <w:rPr>
                <w:sz w:val="28"/>
                <w:szCs w:val="28"/>
              </w:rPr>
            </w:pPr>
            <w:r w:rsidRPr="00685B3A">
              <w:rPr>
                <w:sz w:val="28"/>
                <w:szCs w:val="28"/>
              </w:rPr>
              <w:t>Statement showing net profit ratio: Colgate-Palmolive</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w:t>
            </w:r>
            <w:r w:rsidR="00DD465C" w:rsidRPr="00685B3A">
              <w:rPr>
                <w:sz w:val="28"/>
                <w:szCs w:val="28"/>
              </w:rPr>
              <w:t>9</w:t>
            </w:r>
          </w:p>
        </w:tc>
        <w:tc>
          <w:tcPr>
            <w:tcW w:w="6379" w:type="dxa"/>
          </w:tcPr>
          <w:p w:rsidR="00BE6547" w:rsidRPr="00685B3A" w:rsidRDefault="00DD465C" w:rsidP="00685B3A">
            <w:pPr>
              <w:tabs>
                <w:tab w:val="left" w:pos="677"/>
              </w:tabs>
              <w:rPr>
                <w:sz w:val="28"/>
                <w:szCs w:val="28"/>
              </w:rPr>
            </w:pPr>
            <w:r w:rsidRPr="00685B3A">
              <w:rPr>
                <w:sz w:val="28"/>
                <w:szCs w:val="28"/>
              </w:rPr>
              <w:tab/>
              <w:t>Statement showing net profit ratio: Britannia</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0</w:t>
            </w:r>
          </w:p>
        </w:tc>
        <w:tc>
          <w:tcPr>
            <w:tcW w:w="6379" w:type="dxa"/>
          </w:tcPr>
          <w:p w:rsidR="00BE6547" w:rsidRPr="00685B3A" w:rsidRDefault="00DD465C" w:rsidP="00685B3A">
            <w:pPr>
              <w:tabs>
                <w:tab w:val="left" w:pos="1051"/>
              </w:tabs>
              <w:rPr>
                <w:sz w:val="28"/>
                <w:szCs w:val="28"/>
              </w:rPr>
            </w:pPr>
            <w:r w:rsidRPr="00685B3A">
              <w:rPr>
                <w:sz w:val="28"/>
                <w:szCs w:val="28"/>
              </w:rPr>
              <w:tab/>
              <w:t>Statement showing net profit ratio: Dabur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1</w:t>
            </w:r>
          </w:p>
        </w:tc>
        <w:tc>
          <w:tcPr>
            <w:tcW w:w="6379" w:type="dxa"/>
          </w:tcPr>
          <w:p w:rsidR="00BE6547" w:rsidRPr="00685B3A" w:rsidRDefault="00743167" w:rsidP="00685B3A">
            <w:pPr>
              <w:rPr>
                <w:sz w:val="28"/>
                <w:szCs w:val="28"/>
              </w:rPr>
            </w:pPr>
            <w:r w:rsidRPr="00685B3A">
              <w:rPr>
                <w:sz w:val="28"/>
                <w:szCs w:val="28"/>
              </w:rPr>
              <w:t>Statement showing Operating Profit ratio: Hindustan Unilever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2</w:t>
            </w:r>
          </w:p>
        </w:tc>
        <w:tc>
          <w:tcPr>
            <w:tcW w:w="6379" w:type="dxa"/>
          </w:tcPr>
          <w:p w:rsidR="00BE6547" w:rsidRPr="00685B3A" w:rsidRDefault="00743167" w:rsidP="00685B3A">
            <w:pPr>
              <w:rPr>
                <w:sz w:val="28"/>
                <w:szCs w:val="28"/>
              </w:rPr>
            </w:pPr>
            <w:r w:rsidRPr="00685B3A">
              <w:rPr>
                <w:sz w:val="28"/>
                <w:szCs w:val="28"/>
              </w:rPr>
              <w:t>Statement showing Operating Profit Ratio : ITC</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3</w:t>
            </w:r>
          </w:p>
        </w:tc>
        <w:tc>
          <w:tcPr>
            <w:tcW w:w="6379" w:type="dxa"/>
          </w:tcPr>
          <w:p w:rsidR="00BE6547" w:rsidRPr="00685B3A" w:rsidRDefault="00743167" w:rsidP="00685B3A">
            <w:pPr>
              <w:rPr>
                <w:sz w:val="28"/>
                <w:szCs w:val="28"/>
              </w:rPr>
            </w:pPr>
            <w:r w:rsidRPr="00685B3A">
              <w:rPr>
                <w:sz w:val="28"/>
                <w:szCs w:val="28"/>
              </w:rPr>
              <w:t>Statement showing operating profit ratio: Colgate-Palmolive</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4</w:t>
            </w:r>
          </w:p>
        </w:tc>
        <w:tc>
          <w:tcPr>
            <w:tcW w:w="6379" w:type="dxa"/>
          </w:tcPr>
          <w:p w:rsidR="00BE6547" w:rsidRPr="00685B3A" w:rsidRDefault="00743167" w:rsidP="00685B3A">
            <w:pPr>
              <w:rPr>
                <w:sz w:val="28"/>
                <w:szCs w:val="28"/>
              </w:rPr>
            </w:pPr>
            <w:r w:rsidRPr="00685B3A">
              <w:rPr>
                <w:sz w:val="28"/>
                <w:szCs w:val="28"/>
              </w:rPr>
              <w:t>Statement showing operating profit: Britannia</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5</w:t>
            </w:r>
          </w:p>
        </w:tc>
        <w:tc>
          <w:tcPr>
            <w:tcW w:w="6379" w:type="dxa"/>
          </w:tcPr>
          <w:p w:rsidR="00BE6547" w:rsidRPr="00685B3A" w:rsidRDefault="00743167" w:rsidP="00685B3A">
            <w:pPr>
              <w:rPr>
                <w:sz w:val="28"/>
                <w:szCs w:val="28"/>
              </w:rPr>
            </w:pPr>
            <w:r w:rsidRPr="00685B3A">
              <w:rPr>
                <w:sz w:val="28"/>
                <w:szCs w:val="28"/>
              </w:rPr>
              <w:t>Statement showing operating profit ratio: Dabur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6</w:t>
            </w:r>
          </w:p>
        </w:tc>
        <w:tc>
          <w:tcPr>
            <w:tcW w:w="6379" w:type="dxa"/>
          </w:tcPr>
          <w:p w:rsidR="00BE6547" w:rsidRPr="00685B3A" w:rsidRDefault="00743167" w:rsidP="00685B3A">
            <w:pPr>
              <w:rPr>
                <w:sz w:val="28"/>
                <w:szCs w:val="28"/>
              </w:rPr>
            </w:pPr>
            <w:r w:rsidRPr="00685B3A">
              <w:rPr>
                <w:sz w:val="28"/>
                <w:szCs w:val="28"/>
              </w:rPr>
              <w:t>Statement showing EPS: Hindustan Unilever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7</w:t>
            </w:r>
          </w:p>
        </w:tc>
        <w:tc>
          <w:tcPr>
            <w:tcW w:w="6379" w:type="dxa"/>
          </w:tcPr>
          <w:p w:rsidR="00BE6547" w:rsidRPr="00685B3A" w:rsidRDefault="00743167" w:rsidP="00685B3A">
            <w:pPr>
              <w:rPr>
                <w:sz w:val="28"/>
                <w:szCs w:val="28"/>
              </w:rPr>
            </w:pPr>
            <w:r w:rsidRPr="00685B3A">
              <w:rPr>
                <w:sz w:val="28"/>
                <w:szCs w:val="28"/>
              </w:rPr>
              <w:t>Statement showing EPS: ITC</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4.1</w:t>
            </w:r>
            <w:r w:rsidR="00DD465C" w:rsidRPr="00685B3A">
              <w:rPr>
                <w:sz w:val="28"/>
                <w:szCs w:val="28"/>
              </w:rPr>
              <w:t>8</w:t>
            </w:r>
          </w:p>
        </w:tc>
        <w:tc>
          <w:tcPr>
            <w:tcW w:w="6379" w:type="dxa"/>
          </w:tcPr>
          <w:p w:rsidR="00BE6547" w:rsidRPr="00685B3A" w:rsidRDefault="00743167" w:rsidP="00685B3A">
            <w:pPr>
              <w:rPr>
                <w:sz w:val="28"/>
                <w:szCs w:val="28"/>
              </w:rPr>
            </w:pPr>
            <w:r w:rsidRPr="00685B3A">
              <w:rPr>
                <w:sz w:val="28"/>
                <w:szCs w:val="28"/>
              </w:rPr>
              <w:t>Statement showing EPS: Colgate-Palmolive</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4.20</w:t>
            </w:r>
          </w:p>
        </w:tc>
        <w:tc>
          <w:tcPr>
            <w:tcW w:w="6379" w:type="dxa"/>
          </w:tcPr>
          <w:p w:rsidR="00BE6547" w:rsidRPr="00685B3A" w:rsidRDefault="00743167" w:rsidP="00685B3A">
            <w:pPr>
              <w:rPr>
                <w:sz w:val="28"/>
                <w:szCs w:val="28"/>
              </w:rPr>
            </w:pPr>
            <w:r w:rsidRPr="00685B3A">
              <w:rPr>
                <w:sz w:val="28"/>
                <w:szCs w:val="28"/>
              </w:rPr>
              <w:t>Statement showing EPS: Britannia</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4.21</w:t>
            </w:r>
          </w:p>
        </w:tc>
        <w:tc>
          <w:tcPr>
            <w:tcW w:w="6379" w:type="dxa"/>
          </w:tcPr>
          <w:p w:rsidR="00BE6547" w:rsidRPr="00685B3A" w:rsidRDefault="00743167" w:rsidP="00685B3A">
            <w:pPr>
              <w:rPr>
                <w:sz w:val="28"/>
                <w:szCs w:val="28"/>
              </w:rPr>
            </w:pPr>
            <w:r w:rsidRPr="00685B3A">
              <w:rPr>
                <w:sz w:val="28"/>
                <w:szCs w:val="28"/>
              </w:rPr>
              <w:t>Statement showing EPS: Dabur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4.22</w:t>
            </w:r>
          </w:p>
        </w:tc>
        <w:tc>
          <w:tcPr>
            <w:tcW w:w="6379" w:type="dxa"/>
          </w:tcPr>
          <w:p w:rsidR="00BE6547" w:rsidRPr="00685B3A" w:rsidRDefault="00743167" w:rsidP="00685B3A">
            <w:pPr>
              <w:rPr>
                <w:sz w:val="28"/>
                <w:szCs w:val="28"/>
              </w:rPr>
            </w:pPr>
            <w:r w:rsidRPr="00685B3A">
              <w:rPr>
                <w:sz w:val="28"/>
                <w:szCs w:val="28"/>
              </w:rPr>
              <w:t>Shareholding Pattern : Hindustan Unilever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4.23</w:t>
            </w:r>
          </w:p>
        </w:tc>
        <w:tc>
          <w:tcPr>
            <w:tcW w:w="6379" w:type="dxa"/>
          </w:tcPr>
          <w:p w:rsidR="00BE6547" w:rsidRPr="00685B3A" w:rsidRDefault="00743167" w:rsidP="00685B3A">
            <w:pPr>
              <w:rPr>
                <w:sz w:val="28"/>
                <w:szCs w:val="28"/>
              </w:rPr>
            </w:pPr>
            <w:r w:rsidRPr="00685B3A">
              <w:rPr>
                <w:sz w:val="28"/>
                <w:szCs w:val="28"/>
              </w:rPr>
              <w:t>Shareholding Pattern : ITC</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w:t>
            </w:r>
            <w:r w:rsidR="00685B3A" w:rsidRPr="00685B3A">
              <w:rPr>
                <w:sz w:val="28"/>
                <w:szCs w:val="28"/>
              </w:rPr>
              <w:t>4</w:t>
            </w:r>
          </w:p>
        </w:tc>
        <w:tc>
          <w:tcPr>
            <w:tcW w:w="6379" w:type="dxa"/>
          </w:tcPr>
          <w:p w:rsidR="00BE6547" w:rsidRPr="00685B3A" w:rsidRDefault="00743167" w:rsidP="00685B3A">
            <w:pPr>
              <w:rPr>
                <w:sz w:val="28"/>
                <w:szCs w:val="28"/>
              </w:rPr>
            </w:pPr>
            <w:r w:rsidRPr="00685B3A">
              <w:rPr>
                <w:sz w:val="28"/>
                <w:szCs w:val="28"/>
              </w:rPr>
              <w:t>Shareholding Pattern : Britannia</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w:t>
            </w:r>
            <w:r w:rsidR="00685B3A" w:rsidRPr="00685B3A">
              <w:rPr>
                <w:sz w:val="28"/>
                <w:szCs w:val="28"/>
              </w:rPr>
              <w:t>5</w:t>
            </w:r>
          </w:p>
        </w:tc>
        <w:tc>
          <w:tcPr>
            <w:tcW w:w="6379" w:type="dxa"/>
          </w:tcPr>
          <w:p w:rsidR="00BE6547" w:rsidRPr="00685B3A" w:rsidRDefault="00743167" w:rsidP="00685B3A">
            <w:pPr>
              <w:rPr>
                <w:sz w:val="28"/>
                <w:szCs w:val="28"/>
              </w:rPr>
            </w:pPr>
            <w:r w:rsidRPr="00685B3A">
              <w:rPr>
                <w:sz w:val="28"/>
                <w:szCs w:val="28"/>
              </w:rPr>
              <w:t>Shareholding Pattern : Dabur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4.2</w:t>
            </w:r>
            <w:r w:rsidR="00685B3A" w:rsidRPr="00685B3A">
              <w:rPr>
                <w:sz w:val="28"/>
                <w:szCs w:val="28"/>
              </w:rPr>
              <w:t>6</w:t>
            </w:r>
          </w:p>
        </w:tc>
        <w:tc>
          <w:tcPr>
            <w:tcW w:w="6379" w:type="dxa"/>
          </w:tcPr>
          <w:p w:rsidR="00BE6547" w:rsidRPr="00685B3A" w:rsidRDefault="00743167" w:rsidP="00685B3A">
            <w:pPr>
              <w:tabs>
                <w:tab w:val="left" w:pos="3614"/>
              </w:tabs>
              <w:rPr>
                <w:sz w:val="28"/>
                <w:szCs w:val="28"/>
              </w:rPr>
            </w:pPr>
            <w:r w:rsidRPr="00685B3A">
              <w:rPr>
                <w:sz w:val="28"/>
                <w:szCs w:val="28"/>
              </w:rPr>
              <w:t>Statement showing Trend Percentages</w:t>
            </w:r>
            <w:r w:rsidR="00CE4275">
              <w:rPr>
                <w:sz w:val="28"/>
                <w:szCs w:val="28"/>
              </w:rPr>
              <w:t xml:space="preserve"> of 5 </w:t>
            </w:r>
            <w:r w:rsidR="00CE4275">
              <w:rPr>
                <w:sz w:val="28"/>
                <w:szCs w:val="28"/>
              </w:rPr>
              <w:lastRenderedPageBreak/>
              <w:t>companies</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lastRenderedPageBreak/>
              <w:t>4.</w:t>
            </w:r>
            <w:r w:rsidR="00CE4275">
              <w:rPr>
                <w:sz w:val="28"/>
                <w:szCs w:val="28"/>
              </w:rPr>
              <w:t>27</w:t>
            </w:r>
          </w:p>
        </w:tc>
        <w:tc>
          <w:tcPr>
            <w:tcW w:w="6379" w:type="dxa"/>
          </w:tcPr>
          <w:p w:rsidR="00BE6547" w:rsidRPr="00685B3A" w:rsidRDefault="00685B3A" w:rsidP="00685B3A">
            <w:pPr>
              <w:rPr>
                <w:sz w:val="28"/>
                <w:szCs w:val="28"/>
              </w:rPr>
            </w:pPr>
            <w:r w:rsidRPr="00685B3A">
              <w:rPr>
                <w:sz w:val="28"/>
                <w:szCs w:val="28"/>
              </w:rPr>
              <w:t>Hypothesis Testing: Hindustan Unilever</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w:t>
            </w:r>
            <w:r w:rsidR="00CE4275">
              <w:rPr>
                <w:sz w:val="28"/>
                <w:szCs w:val="28"/>
              </w:rPr>
              <w:t>28</w:t>
            </w:r>
          </w:p>
        </w:tc>
        <w:tc>
          <w:tcPr>
            <w:tcW w:w="6379" w:type="dxa"/>
          </w:tcPr>
          <w:p w:rsidR="00BE6547" w:rsidRPr="00685B3A" w:rsidRDefault="00685B3A" w:rsidP="00685B3A">
            <w:pPr>
              <w:rPr>
                <w:sz w:val="28"/>
                <w:szCs w:val="28"/>
              </w:rPr>
            </w:pPr>
            <w:r w:rsidRPr="00685B3A">
              <w:rPr>
                <w:sz w:val="28"/>
                <w:szCs w:val="28"/>
              </w:rPr>
              <w:t>Hypothesis Testing: Indian Tobacco Company</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w:t>
            </w:r>
            <w:r w:rsidR="00CE4275">
              <w:rPr>
                <w:sz w:val="28"/>
                <w:szCs w:val="28"/>
              </w:rPr>
              <w:t>29</w:t>
            </w:r>
          </w:p>
        </w:tc>
        <w:tc>
          <w:tcPr>
            <w:tcW w:w="6379" w:type="dxa"/>
          </w:tcPr>
          <w:p w:rsidR="00BE6547" w:rsidRPr="00685B3A" w:rsidRDefault="00685B3A" w:rsidP="00685B3A">
            <w:pPr>
              <w:rPr>
                <w:sz w:val="28"/>
                <w:szCs w:val="28"/>
              </w:rPr>
            </w:pPr>
            <w:r w:rsidRPr="00685B3A">
              <w:rPr>
                <w:sz w:val="28"/>
                <w:szCs w:val="28"/>
              </w:rPr>
              <w:t>Hypothesis Testing: Colgate-Palmolive</w:t>
            </w:r>
          </w:p>
        </w:tc>
        <w:tc>
          <w:tcPr>
            <w:tcW w:w="1224" w:type="dxa"/>
          </w:tcPr>
          <w:p w:rsidR="00BE6547" w:rsidRPr="00685B3A" w:rsidRDefault="00BE6547" w:rsidP="00685B3A">
            <w:pPr>
              <w:rPr>
                <w:sz w:val="28"/>
                <w:szCs w:val="28"/>
              </w:rPr>
            </w:pPr>
          </w:p>
        </w:tc>
      </w:tr>
      <w:tr w:rsidR="00BE6547" w:rsidRPr="00685B3A" w:rsidTr="00BE6547">
        <w:tc>
          <w:tcPr>
            <w:tcW w:w="1413" w:type="dxa"/>
          </w:tcPr>
          <w:p w:rsidR="00BE6547" w:rsidRPr="00685B3A" w:rsidRDefault="00BE6547" w:rsidP="00685B3A">
            <w:pPr>
              <w:rPr>
                <w:sz w:val="28"/>
                <w:szCs w:val="28"/>
              </w:rPr>
            </w:pPr>
            <w:r w:rsidRPr="00685B3A">
              <w:rPr>
                <w:sz w:val="28"/>
                <w:szCs w:val="28"/>
              </w:rPr>
              <w:t>4.3</w:t>
            </w:r>
            <w:r w:rsidR="00CE4275">
              <w:rPr>
                <w:sz w:val="28"/>
                <w:szCs w:val="28"/>
              </w:rPr>
              <w:t>0</w:t>
            </w:r>
          </w:p>
        </w:tc>
        <w:tc>
          <w:tcPr>
            <w:tcW w:w="6379" w:type="dxa"/>
          </w:tcPr>
          <w:p w:rsidR="00BE6547" w:rsidRPr="00685B3A" w:rsidRDefault="00685B3A" w:rsidP="00685B3A">
            <w:pPr>
              <w:rPr>
                <w:sz w:val="28"/>
                <w:szCs w:val="28"/>
              </w:rPr>
            </w:pPr>
            <w:r w:rsidRPr="00685B3A">
              <w:rPr>
                <w:sz w:val="28"/>
                <w:szCs w:val="28"/>
              </w:rPr>
              <w:t>Hypothesis Testing: Britannia</w:t>
            </w:r>
          </w:p>
        </w:tc>
        <w:tc>
          <w:tcPr>
            <w:tcW w:w="1224" w:type="dxa"/>
          </w:tcPr>
          <w:p w:rsidR="00BE6547" w:rsidRPr="00685B3A" w:rsidRDefault="00BE6547" w:rsidP="00685B3A">
            <w:pPr>
              <w:rPr>
                <w:sz w:val="28"/>
                <w:szCs w:val="28"/>
              </w:rPr>
            </w:pPr>
          </w:p>
        </w:tc>
      </w:tr>
      <w:tr w:rsidR="00685B3A" w:rsidRPr="00685B3A" w:rsidTr="00685B3A">
        <w:trPr>
          <w:trHeight w:val="429"/>
        </w:trPr>
        <w:tc>
          <w:tcPr>
            <w:tcW w:w="1413" w:type="dxa"/>
          </w:tcPr>
          <w:p w:rsidR="00685B3A" w:rsidRPr="00685B3A" w:rsidRDefault="00685B3A" w:rsidP="00685B3A">
            <w:pPr>
              <w:rPr>
                <w:sz w:val="28"/>
                <w:szCs w:val="28"/>
              </w:rPr>
            </w:pPr>
            <w:r w:rsidRPr="00685B3A">
              <w:rPr>
                <w:sz w:val="28"/>
                <w:szCs w:val="28"/>
              </w:rPr>
              <w:t>4.3</w:t>
            </w:r>
            <w:r w:rsidR="00CE4275">
              <w:rPr>
                <w:sz w:val="28"/>
                <w:szCs w:val="28"/>
              </w:rPr>
              <w:t>1</w:t>
            </w:r>
          </w:p>
        </w:tc>
        <w:tc>
          <w:tcPr>
            <w:tcW w:w="6379" w:type="dxa"/>
          </w:tcPr>
          <w:p w:rsidR="00685B3A" w:rsidRPr="00685B3A" w:rsidRDefault="00685B3A" w:rsidP="00685B3A">
            <w:pPr>
              <w:rPr>
                <w:sz w:val="28"/>
                <w:szCs w:val="28"/>
              </w:rPr>
            </w:pPr>
            <w:r w:rsidRPr="00685B3A">
              <w:rPr>
                <w:sz w:val="28"/>
                <w:szCs w:val="28"/>
              </w:rPr>
              <w:t>Hypothesis Testing: Dabur</w:t>
            </w:r>
          </w:p>
        </w:tc>
        <w:tc>
          <w:tcPr>
            <w:tcW w:w="1224" w:type="dxa"/>
          </w:tcPr>
          <w:p w:rsidR="00685B3A" w:rsidRPr="00685B3A" w:rsidRDefault="00685B3A" w:rsidP="00685B3A">
            <w:pPr>
              <w:rPr>
                <w:sz w:val="28"/>
                <w:szCs w:val="28"/>
              </w:rPr>
            </w:pPr>
          </w:p>
        </w:tc>
      </w:tr>
    </w:tbl>
    <w:p w:rsidR="00EA7112" w:rsidRDefault="00EA7112"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CC1499" w:rsidRDefault="00CC1499" w:rsidP="00685B3A">
      <w:pPr>
        <w:rPr>
          <w:sz w:val="28"/>
          <w:szCs w:val="28"/>
        </w:rPr>
      </w:pPr>
    </w:p>
    <w:p w:rsidR="0076646D" w:rsidRDefault="0076646D" w:rsidP="00685B3A">
      <w:pPr>
        <w:rPr>
          <w:sz w:val="28"/>
          <w:szCs w:val="28"/>
        </w:rPr>
      </w:pPr>
    </w:p>
    <w:p w:rsidR="0076646D" w:rsidRDefault="0076646D" w:rsidP="00685B3A">
      <w:pPr>
        <w:rPr>
          <w:sz w:val="28"/>
          <w:szCs w:val="28"/>
        </w:rPr>
      </w:pPr>
    </w:p>
    <w:p w:rsidR="0076646D" w:rsidRDefault="0076646D" w:rsidP="00685B3A">
      <w:pPr>
        <w:rPr>
          <w:sz w:val="28"/>
          <w:szCs w:val="28"/>
        </w:rPr>
      </w:pPr>
    </w:p>
    <w:p w:rsidR="0076646D" w:rsidRDefault="0076646D" w:rsidP="00685B3A">
      <w:pPr>
        <w:rPr>
          <w:sz w:val="28"/>
          <w:szCs w:val="28"/>
        </w:rPr>
      </w:pPr>
    </w:p>
    <w:p w:rsidR="0076646D" w:rsidRDefault="0076646D" w:rsidP="00685B3A">
      <w:pPr>
        <w:rPr>
          <w:sz w:val="28"/>
          <w:szCs w:val="28"/>
        </w:rPr>
      </w:pPr>
    </w:p>
    <w:p w:rsidR="00CC1499" w:rsidRDefault="00CC1499" w:rsidP="00685B3A">
      <w:pPr>
        <w:rPr>
          <w:sz w:val="28"/>
          <w:szCs w:val="28"/>
        </w:rPr>
      </w:pPr>
    </w:p>
    <w:p w:rsidR="0076646D" w:rsidRDefault="0076646D" w:rsidP="00685B3A">
      <w:pPr>
        <w:rPr>
          <w:sz w:val="28"/>
          <w:szCs w:val="28"/>
        </w:rPr>
      </w:pPr>
    </w:p>
    <w:p w:rsidR="00CC1499" w:rsidRPr="00CC1499" w:rsidRDefault="00CC1499" w:rsidP="00CC1499">
      <w:pPr>
        <w:jc w:val="center"/>
        <w:rPr>
          <w:b/>
          <w:bCs/>
          <w:sz w:val="32"/>
          <w:szCs w:val="32"/>
        </w:rPr>
      </w:pPr>
      <w:r w:rsidRPr="00CC1499">
        <w:rPr>
          <w:b/>
          <w:bCs/>
          <w:sz w:val="32"/>
          <w:szCs w:val="32"/>
        </w:rPr>
        <w:t>CHAPTER 1</w:t>
      </w:r>
    </w:p>
    <w:p w:rsidR="00CC1499" w:rsidRDefault="00CC1499" w:rsidP="00CC1499">
      <w:pPr>
        <w:jc w:val="center"/>
        <w:rPr>
          <w:b/>
          <w:bCs/>
          <w:sz w:val="32"/>
          <w:szCs w:val="32"/>
        </w:rPr>
      </w:pPr>
      <w:r w:rsidRPr="00CC1499">
        <w:rPr>
          <w:b/>
          <w:bCs/>
          <w:sz w:val="32"/>
          <w:szCs w:val="32"/>
        </w:rPr>
        <w:t>INTRODUCTION</w:t>
      </w: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367B4C" w:rsidRPr="00E970CE" w:rsidRDefault="00367B4C" w:rsidP="00367B4C">
      <w:pPr>
        <w:pStyle w:val="ListParagraph"/>
        <w:numPr>
          <w:ilvl w:val="1"/>
          <w:numId w:val="7"/>
        </w:numPr>
        <w:spacing w:line="360" w:lineRule="auto"/>
        <w:rPr>
          <w:b/>
          <w:bCs/>
          <w:sz w:val="28"/>
          <w:szCs w:val="28"/>
          <w:lang w:val="en-US"/>
        </w:rPr>
      </w:pPr>
      <w:r w:rsidRPr="00E970CE">
        <w:rPr>
          <w:b/>
          <w:bCs/>
          <w:sz w:val="28"/>
          <w:szCs w:val="28"/>
          <w:lang w:val="en-US"/>
        </w:rPr>
        <w:lastRenderedPageBreak/>
        <w:t>INTRODUCTION</w:t>
      </w:r>
      <w:bookmarkStart w:id="0" w:name="_Hlk154070285"/>
    </w:p>
    <w:p w:rsidR="00367B4C" w:rsidRPr="00243058" w:rsidRDefault="00367B4C" w:rsidP="00367B4C">
      <w:pPr>
        <w:spacing w:line="360" w:lineRule="auto"/>
        <w:jc w:val="both"/>
        <w:rPr>
          <w:rFonts w:eastAsia="Times New Roman"/>
          <w:kern w:val="0"/>
          <w:lang w:eastAsia="en-IN"/>
        </w:rPr>
      </w:pPr>
      <w:r w:rsidRPr="00243058">
        <w:rPr>
          <w:rFonts w:eastAsia="Times New Roman"/>
          <w:kern w:val="0"/>
          <w:lang w:eastAsia="en-IN"/>
        </w:rPr>
        <w:t>Within the Indian economy, one of the biggest and most significant sectors is the fast-moving consumer goods (FMCG) industry. FMCG companies sell a wide range of goods, including domestic goods, personal care items, and food and drink items. Because people use these products on a regular basis because they are necessities, the FMCG industry is comparatively recession-proof</w:t>
      </w:r>
      <w:r>
        <w:rPr>
          <w:rFonts w:eastAsia="Times New Roman"/>
          <w:kern w:val="0"/>
          <w:lang w:eastAsia="en-IN"/>
        </w:rPr>
        <w:t xml:space="preserve">. </w:t>
      </w:r>
      <w:r w:rsidRPr="00243058">
        <w:rPr>
          <w:rFonts w:eastAsia="Times New Roman"/>
          <w:kern w:val="0"/>
          <w:lang w:eastAsia="en-IN"/>
        </w:rPr>
        <w:t>Investors keep an eye on a company's quarterly share price results because they offer valuable insights about the sector's performance and the state of the economy as a whole. Strong quarterly earnings from FMCG companies typically signal that the industry is expanding and that investors are able to purchase the company's shares. Given that it indicates that the economy is stable, this could be advantageous for the stock market as a whole.</w:t>
      </w:r>
    </w:p>
    <w:p w:rsidR="00367B4C" w:rsidRPr="00243058" w:rsidRDefault="00367B4C" w:rsidP="00367B4C">
      <w:pPr>
        <w:spacing w:line="360" w:lineRule="auto"/>
        <w:jc w:val="both"/>
        <w:rPr>
          <w:rFonts w:eastAsia="Times New Roman"/>
          <w:kern w:val="0"/>
          <w:lang w:eastAsia="en-IN"/>
        </w:rPr>
      </w:pPr>
      <w:r w:rsidRPr="00243058">
        <w:rPr>
          <w:rFonts w:eastAsia="Times New Roman"/>
          <w:kern w:val="0"/>
          <w:lang w:eastAsia="en-IN"/>
        </w:rPr>
        <w:t>Conversely, poor quarterly performance from FMCG firms may indicate a slowdown in the industry or a reduction in consumer spending. This might be bad news for the stock market because it implies that the economy might be deteriorating.To find possible investment possibilities, investors consider the specific performance of FMCG firms in addition to the sector's overall performance. Strong performance-producing companies are frequently viewed as wise investments because they are expected to expand and make money in the future.</w:t>
      </w:r>
    </w:p>
    <w:p w:rsidR="00367B4C" w:rsidRDefault="00367B4C" w:rsidP="00367B4C">
      <w:pPr>
        <w:spacing w:line="360" w:lineRule="auto"/>
        <w:jc w:val="both"/>
        <w:rPr>
          <w:rFonts w:eastAsia="Times New Roman"/>
          <w:kern w:val="0"/>
          <w:lang w:eastAsia="en-IN"/>
        </w:rPr>
      </w:pPr>
      <w:r w:rsidRPr="00243058">
        <w:rPr>
          <w:rFonts w:eastAsia="Times New Roman"/>
          <w:kern w:val="0"/>
          <w:lang w:eastAsia="en-IN"/>
        </w:rPr>
        <w:t>All things considered, the performance of the FMCG industry and the state of the economy as a whole are significantly influenced by the quarterly results of these businesses. To determine possible investment possibilities and evaluate the total risk of investing in the FMCG industry, investors should keep a close eye on these results.The majority of investors focus on revenue growth, profitability, market share, and future outlook when analy</w:t>
      </w:r>
      <w:r>
        <w:rPr>
          <w:rFonts w:eastAsia="Times New Roman"/>
          <w:kern w:val="0"/>
          <w:lang w:eastAsia="en-IN"/>
        </w:rPr>
        <w:t>s</w:t>
      </w:r>
      <w:r w:rsidRPr="00243058">
        <w:rPr>
          <w:rFonts w:eastAsia="Times New Roman"/>
          <w:kern w:val="0"/>
          <w:lang w:eastAsia="en-IN"/>
        </w:rPr>
        <w:t>ing the quarterly results of FMCG companies. Investors should also be aware that a variety of factors, including as the general state of the economy, inflation, and pressure from competitors, can have an impact on the quarterly performance of FMCG companies. When making financial selections, it's critical to take all of these things into account.</w:t>
      </w:r>
    </w:p>
    <w:p w:rsidR="00367B4C" w:rsidRPr="006E0515" w:rsidRDefault="00367B4C" w:rsidP="00367B4C">
      <w:pPr>
        <w:spacing w:line="360" w:lineRule="auto"/>
        <w:jc w:val="both"/>
      </w:pPr>
      <w:r>
        <w:t xml:space="preserve">Due to their fierce competition, FMCG companies usually have narrow profit margins, which forces them to prioritize cost control, supply chain optimization, and operational efficiency. Furthermore, shifting consumer tastes, wellness and health trends, and environmental concerns are having an increasing impact on the industry, forcing </w:t>
      </w:r>
      <w:r>
        <w:lastRenderedPageBreak/>
        <w:t>businesses to modify their product lines and operational procedures in response to changing market needs.The FMCG industry is a key driver of worldwide economic growth and job opportunities since it is a gauge of consumer attitude and spending habits. Because of the indispensable nature of its products, this business is a pillar of contemporary consumer culture. The FMCG industry is a fascinating and dynamic area to work in since it has both opportunities and challenges for innovation and growth as technology and consumer behaviour continue to change.</w:t>
      </w:r>
    </w:p>
    <w:p w:rsidR="00367B4C" w:rsidRPr="00243058" w:rsidRDefault="00367B4C" w:rsidP="00367B4C">
      <w:pPr>
        <w:spacing w:line="360" w:lineRule="auto"/>
        <w:rPr>
          <w:b/>
          <w:bCs/>
          <w:lang w:val="en-US"/>
        </w:rPr>
      </w:pPr>
    </w:p>
    <w:p w:rsidR="00367B4C" w:rsidRPr="00E970CE" w:rsidRDefault="00367B4C" w:rsidP="00367B4C">
      <w:pPr>
        <w:pStyle w:val="ListParagraph"/>
        <w:numPr>
          <w:ilvl w:val="1"/>
          <w:numId w:val="7"/>
        </w:numPr>
        <w:spacing w:line="360" w:lineRule="auto"/>
        <w:jc w:val="both"/>
        <w:rPr>
          <w:b/>
          <w:bCs/>
          <w:sz w:val="28"/>
          <w:szCs w:val="28"/>
          <w:lang w:val="en-US"/>
        </w:rPr>
      </w:pPr>
      <w:r w:rsidRPr="00E970CE">
        <w:rPr>
          <w:b/>
          <w:bCs/>
          <w:sz w:val="28"/>
          <w:szCs w:val="28"/>
          <w:lang w:val="en-US"/>
        </w:rPr>
        <w:t>BACKGROUND</w:t>
      </w:r>
    </w:p>
    <w:p w:rsidR="00367B4C" w:rsidRPr="001D0206" w:rsidRDefault="00367B4C" w:rsidP="00367B4C">
      <w:pPr>
        <w:spacing w:line="360" w:lineRule="auto"/>
        <w:jc w:val="both"/>
        <w:rPr>
          <w:lang w:val="en-US"/>
        </w:rPr>
      </w:pPr>
      <w:r w:rsidRPr="001D0206">
        <w:rPr>
          <w:lang w:val="en-US"/>
        </w:rPr>
        <w:t>The Fast-Moving Consumer Goods (FMCG) sector is an indispensable participant in global economics, providing some necessary products to customers. To investors and industry stakeholders alike, a comprehension of the factors affecting financial performance and stock price trends for these firms is imperative.</w:t>
      </w:r>
    </w:p>
    <w:p w:rsidR="00367B4C" w:rsidRDefault="00367B4C" w:rsidP="00367B4C">
      <w:pPr>
        <w:spacing w:line="360" w:lineRule="auto"/>
        <w:jc w:val="both"/>
        <w:rPr>
          <w:b/>
          <w:bCs/>
          <w:sz w:val="28"/>
          <w:szCs w:val="28"/>
          <w:lang w:val="en-US"/>
        </w:rPr>
      </w:pPr>
      <w:r w:rsidRPr="001D0206">
        <w:rPr>
          <w:lang w:val="en-US"/>
        </w:rPr>
        <w:t>This research thus aims to narrow this gap by examining how the financial soundness can be accounted for using their quarterly results and influences on share prices. Moreover, this paper also discuses about the shareholders composition as well as dynamics into understand if it might impact on the stock prices of FMCG companies. In addition, they will try to show whether or not they could provide a basis for predicting future movements of selected FMCG companies’ shares by looking at quarterly financial data. This work is valuable to all parties involved since it provides them with useful information that can help them make sound investment choices and strategic plans within the FMCG industry</w:t>
      </w:r>
      <w:r w:rsidRPr="001D0206">
        <w:rPr>
          <w:b/>
          <w:bCs/>
          <w:sz w:val="28"/>
          <w:szCs w:val="28"/>
          <w:lang w:val="en-US"/>
        </w:rPr>
        <w:t>.</w:t>
      </w:r>
    </w:p>
    <w:p w:rsidR="00367B4C" w:rsidRPr="001D0206" w:rsidRDefault="00367B4C" w:rsidP="00367B4C">
      <w:pPr>
        <w:spacing w:line="360" w:lineRule="auto"/>
        <w:jc w:val="both"/>
        <w:rPr>
          <w:b/>
          <w:bCs/>
          <w:sz w:val="28"/>
          <w:szCs w:val="28"/>
          <w:lang w:val="en-US"/>
        </w:rPr>
      </w:pPr>
    </w:p>
    <w:p w:rsidR="00367B4C" w:rsidRPr="00243058" w:rsidRDefault="00367B4C" w:rsidP="00367B4C">
      <w:pPr>
        <w:pStyle w:val="ListParagraph"/>
        <w:numPr>
          <w:ilvl w:val="1"/>
          <w:numId w:val="7"/>
        </w:numPr>
        <w:spacing w:line="360" w:lineRule="auto"/>
        <w:jc w:val="both"/>
        <w:rPr>
          <w:b/>
          <w:bCs/>
          <w:sz w:val="28"/>
          <w:szCs w:val="28"/>
          <w:lang w:val="en-US"/>
        </w:rPr>
      </w:pPr>
      <w:r w:rsidRPr="00243058">
        <w:rPr>
          <w:b/>
          <w:bCs/>
          <w:sz w:val="28"/>
          <w:szCs w:val="28"/>
          <w:lang w:val="en-US"/>
        </w:rPr>
        <w:t>SIGNIFICANCE</w:t>
      </w:r>
    </w:p>
    <w:p w:rsidR="00367B4C" w:rsidRPr="00243058" w:rsidRDefault="00367B4C" w:rsidP="00367B4C">
      <w:pPr>
        <w:spacing w:line="360" w:lineRule="auto"/>
        <w:jc w:val="both"/>
        <w:rPr>
          <w:lang w:val="en-US"/>
        </w:rPr>
      </w:pPr>
      <w:r w:rsidRPr="00243058">
        <w:rPr>
          <w:lang w:val="en-US"/>
        </w:rPr>
        <w:t>Fast-moving consumer goods businesses' quarterly results are important for their share prices since they offer information about the business's performance and prospects going forward. FMCG companies market goods including food, drinks, and personal care items that consumers use on a regular basis. So, even when there are downtowns, their performances remain largely consistent. They are occasionally also susceptible to external influences like competition, customer preference shifts, and inflation.</w:t>
      </w:r>
    </w:p>
    <w:p w:rsidR="00367B4C" w:rsidRPr="00243058" w:rsidRDefault="00367B4C" w:rsidP="00367B4C">
      <w:pPr>
        <w:spacing w:line="360" w:lineRule="auto"/>
        <w:jc w:val="both"/>
        <w:rPr>
          <w:lang w:val="en-US"/>
        </w:rPr>
      </w:pPr>
      <w:r w:rsidRPr="00243058">
        <w:rPr>
          <w:lang w:val="en-US"/>
        </w:rPr>
        <w:lastRenderedPageBreak/>
        <w:t>Investors learn how successfully the businesses are handling these issues and whether or not they will be able to reach their growth goals. However, if the firm's reports are underwhelming, it is likely that there are more challenges ahead for them or that they are not moving in the right direction. As a result, investors may decide to sell their shares, which will have a negative impact on the share price of the company.</w:t>
      </w:r>
    </w:p>
    <w:p w:rsidR="00367B4C" w:rsidRPr="00243058" w:rsidRDefault="00367B4C" w:rsidP="00367B4C">
      <w:pPr>
        <w:spacing w:line="360" w:lineRule="auto"/>
        <w:jc w:val="both"/>
        <w:rPr>
          <w:lang w:val="en-US"/>
        </w:rPr>
      </w:pPr>
      <w:r w:rsidRPr="00243058">
        <w:rPr>
          <w:lang w:val="en-US"/>
        </w:rPr>
        <w:t>All things considered, the importance of the quarterly results lies in the fact that they give investors a clearer picture of the company's performance and prospects going forward.</w:t>
      </w:r>
    </w:p>
    <w:p w:rsidR="00367B4C" w:rsidRPr="00243058" w:rsidRDefault="00367B4C" w:rsidP="00367B4C">
      <w:pPr>
        <w:spacing w:line="360" w:lineRule="auto"/>
        <w:jc w:val="both"/>
        <w:rPr>
          <w:b/>
          <w:bCs/>
          <w:lang w:val="en-US"/>
        </w:rPr>
      </w:pPr>
    </w:p>
    <w:p w:rsidR="00367B4C" w:rsidRPr="00243058" w:rsidRDefault="00367B4C" w:rsidP="00367B4C">
      <w:pPr>
        <w:spacing w:line="360" w:lineRule="auto"/>
        <w:jc w:val="both"/>
        <w:rPr>
          <w:b/>
          <w:bCs/>
          <w:sz w:val="28"/>
          <w:szCs w:val="28"/>
          <w:lang w:val="en-US"/>
        </w:rPr>
      </w:pPr>
      <w:r w:rsidRPr="00243058">
        <w:rPr>
          <w:b/>
          <w:bCs/>
          <w:sz w:val="28"/>
          <w:szCs w:val="28"/>
          <w:lang w:val="en-US"/>
        </w:rPr>
        <w:t>1.</w:t>
      </w:r>
      <w:r>
        <w:rPr>
          <w:b/>
          <w:bCs/>
          <w:sz w:val="28"/>
          <w:szCs w:val="28"/>
          <w:lang w:val="en-US"/>
        </w:rPr>
        <w:t xml:space="preserve">4 </w:t>
      </w:r>
      <w:r w:rsidRPr="00243058">
        <w:rPr>
          <w:b/>
          <w:bCs/>
          <w:sz w:val="28"/>
          <w:szCs w:val="28"/>
          <w:lang w:val="en-US"/>
        </w:rPr>
        <w:t>STATEMENT OF THE PROBLEM</w:t>
      </w:r>
    </w:p>
    <w:p w:rsidR="00367B4C" w:rsidRPr="00243058" w:rsidRDefault="00367B4C" w:rsidP="00367B4C">
      <w:pPr>
        <w:spacing w:line="360" w:lineRule="auto"/>
        <w:jc w:val="both"/>
        <w:rPr>
          <w:b/>
          <w:bCs/>
          <w:lang w:val="en-US"/>
        </w:rPr>
      </w:pPr>
      <w:r w:rsidRPr="00243058">
        <w:rPr>
          <w:lang w:val="en-US"/>
        </w:rPr>
        <w:t>The quarterly results of FMCG companies are volatile and are affected by number of factors like status of the economy, government regulations, inflation, introducing a new product. So, the investors should be more careful about these factors and analyze the quarterly results</w:t>
      </w:r>
      <w:bookmarkEnd w:id="0"/>
      <w:r w:rsidRPr="00243058">
        <w:rPr>
          <w:lang w:val="en-US"/>
        </w:rPr>
        <w:t>.The relationship between a company's quarterly results and its share price swings is still a interesting challenge in the ever-changing Indian stock market. This research explores the core of this complex movement, with a particular emphasis on the field of FMCG (fast-moving consumer goods) corporations. This study aims to provide a basic answer to the following fundamental question: to what extent and in what specific ways do the quarterly results of FMCG companies influence their share price movements in the Indian market? The research is motivated by the desire to throw light on the complex relationships between financial performance and investor perception.</w:t>
      </w:r>
    </w:p>
    <w:p w:rsidR="00367B4C" w:rsidRPr="00243058" w:rsidRDefault="00367B4C" w:rsidP="00367B4C">
      <w:pPr>
        <w:spacing w:line="360" w:lineRule="auto"/>
        <w:jc w:val="both"/>
        <w:rPr>
          <w:b/>
          <w:bCs/>
          <w:lang w:val="en-US"/>
        </w:rPr>
      </w:pPr>
    </w:p>
    <w:p w:rsidR="00367B4C" w:rsidRPr="00243058" w:rsidRDefault="00367B4C" w:rsidP="00367B4C">
      <w:pPr>
        <w:spacing w:line="360" w:lineRule="auto"/>
        <w:jc w:val="both"/>
        <w:rPr>
          <w:b/>
          <w:bCs/>
          <w:sz w:val="28"/>
          <w:szCs w:val="28"/>
          <w:lang w:val="en-US"/>
        </w:rPr>
      </w:pPr>
      <w:r w:rsidRPr="00243058">
        <w:rPr>
          <w:b/>
          <w:bCs/>
          <w:sz w:val="28"/>
          <w:szCs w:val="28"/>
          <w:lang w:val="en-US"/>
        </w:rPr>
        <w:t>1.</w:t>
      </w:r>
      <w:r>
        <w:rPr>
          <w:b/>
          <w:bCs/>
          <w:sz w:val="28"/>
          <w:szCs w:val="28"/>
          <w:lang w:val="en-US"/>
        </w:rPr>
        <w:t>5</w:t>
      </w:r>
      <w:r w:rsidRPr="00243058">
        <w:rPr>
          <w:b/>
          <w:bCs/>
          <w:sz w:val="28"/>
          <w:szCs w:val="28"/>
          <w:lang w:val="en-US"/>
        </w:rPr>
        <w:t xml:space="preserve"> OBJECTIVES</w:t>
      </w:r>
    </w:p>
    <w:p w:rsidR="00367B4C" w:rsidRPr="00243058" w:rsidRDefault="00367B4C" w:rsidP="00367B4C">
      <w:pPr>
        <w:pStyle w:val="ListParagraph"/>
        <w:numPr>
          <w:ilvl w:val="0"/>
          <w:numId w:val="4"/>
        </w:numPr>
        <w:spacing w:line="360" w:lineRule="auto"/>
        <w:jc w:val="both"/>
        <w:rPr>
          <w:lang w:val="en-US"/>
        </w:rPr>
      </w:pPr>
      <w:r w:rsidRPr="00243058">
        <w:rPr>
          <w:lang w:val="en-US"/>
        </w:rPr>
        <w:t>To identify the relationship between the share price movements of the selected FMCG industry and their quarterly results.</w:t>
      </w:r>
    </w:p>
    <w:p w:rsidR="00367B4C" w:rsidRPr="002D136C" w:rsidRDefault="00367B4C" w:rsidP="00367B4C">
      <w:pPr>
        <w:pStyle w:val="ListParagraph"/>
        <w:numPr>
          <w:ilvl w:val="0"/>
          <w:numId w:val="4"/>
        </w:numPr>
        <w:spacing w:line="360" w:lineRule="auto"/>
        <w:rPr>
          <w:lang w:val="en-US"/>
        </w:rPr>
      </w:pPr>
      <w:r>
        <w:t>To analyse the quarterly financial performances of selected FMCG companies.</w:t>
      </w:r>
    </w:p>
    <w:p w:rsidR="00367B4C" w:rsidRPr="001F0DC9" w:rsidRDefault="00367B4C" w:rsidP="00367B4C">
      <w:pPr>
        <w:pStyle w:val="ListParagraph"/>
        <w:numPr>
          <w:ilvl w:val="0"/>
          <w:numId w:val="4"/>
        </w:numPr>
        <w:spacing w:line="360" w:lineRule="auto"/>
        <w:rPr>
          <w:lang w:val="en-US"/>
        </w:rPr>
      </w:pPr>
      <w:r>
        <w:lastRenderedPageBreak/>
        <w:t>To understand the composition and dynamics of ownership within the industry by examining the shareholding patterns.</w:t>
      </w:r>
      <w:r w:rsidRPr="001F0DC9">
        <w:rPr>
          <w:b/>
          <w:bCs/>
        </w:rPr>
        <w:br/>
      </w:r>
    </w:p>
    <w:p w:rsidR="00367B4C" w:rsidRPr="00243058" w:rsidRDefault="00367B4C" w:rsidP="00367B4C">
      <w:pPr>
        <w:spacing w:line="360" w:lineRule="auto"/>
        <w:jc w:val="both"/>
        <w:rPr>
          <w:b/>
          <w:bCs/>
          <w:sz w:val="28"/>
          <w:szCs w:val="28"/>
          <w:lang w:val="en-US"/>
        </w:rPr>
      </w:pPr>
      <w:r w:rsidRPr="00243058">
        <w:rPr>
          <w:b/>
          <w:bCs/>
          <w:sz w:val="28"/>
          <w:szCs w:val="28"/>
          <w:lang w:val="en-US"/>
        </w:rPr>
        <w:t>1.</w:t>
      </w:r>
      <w:r>
        <w:rPr>
          <w:b/>
          <w:bCs/>
          <w:sz w:val="28"/>
          <w:szCs w:val="28"/>
          <w:lang w:val="en-US"/>
        </w:rPr>
        <w:t>6</w:t>
      </w:r>
      <w:r w:rsidRPr="00243058">
        <w:rPr>
          <w:b/>
          <w:bCs/>
          <w:sz w:val="28"/>
          <w:szCs w:val="28"/>
          <w:lang w:val="en-US"/>
        </w:rPr>
        <w:t xml:space="preserve"> SCOPE OF THE STUDY</w:t>
      </w:r>
    </w:p>
    <w:p w:rsidR="00367B4C" w:rsidRPr="00243058" w:rsidRDefault="00367B4C" w:rsidP="00367B4C">
      <w:pPr>
        <w:spacing w:line="360" w:lineRule="auto"/>
        <w:jc w:val="both"/>
        <w:rPr>
          <w:lang w:val="en-US"/>
        </w:rPr>
      </w:pPr>
      <w:r w:rsidRPr="00243058">
        <w:rPr>
          <w:lang w:val="en-US"/>
        </w:rPr>
        <w:t xml:space="preserve">The scope of the study includes a proper analysis of the relationship between quarterly results for past 9 quarters from Q2 FY2021 to Q2 FY2023 and the share price movements within the selected companies of the FMCG industry.Thisis done with the help of 5 companies that provide the best consumer products and also how the changes in their share prices are affecting the decisions of the investors as well as the normal consumers. </w:t>
      </w:r>
    </w:p>
    <w:p w:rsidR="00367B4C" w:rsidRPr="00243058" w:rsidRDefault="00367B4C" w:rsidP="00367B4C">
      <w:pPr>
        <w:spacing w:line="360" w:lineRule="auto"/>
        <w:jc w:val="both"/>
        <w:rPr>
          <w:b/>
          <w:bCs/>
          <w:sz w:val="28"/>
          <w:szCs w:val="28"/>
          <w:lang w:val="en-US"/>
        </w:rPr>
      </w:pPr>
      <w:r w:rsidRPr="00243058">
        <w:rPr>
          <w:b/>
          <w:bCs/>
          <w:sz w:val="28"/>
          <w:szCs w:val="28"/>
          <w:lang w:val="en-US"/>
        </w:rPr>
        <w:t>1.</w:t>
      </w:r>
      <w:r>
        <w:rPr>
          <w:b/>
          <w:bCs/>
          <w:sz w:val="28"/>
          <w:szCs w:val="28"/>
          <w:lang w:val="en-US"/>
        </w:rPr>
        <w:t>7</w:t>
      </w:r>
      <w:r w:rsidRPr="00243058">
        <w:rPr>
          <w:b/>
          <w:bCs/>
          <w:sz w:val="28"/>
          <w:szCs w:val="28"/>
          <w:lang w:val="en-US"/>
        </w:rPr>
        <w:t xml:space="preserve"> RESEARCH METHODOLOGY</w:t>
      </w:r>
    </w:p>
    <w:p w:rsidR="00367B4C" w:rsidRPr="00C268AD" w:rsidRDefault="00367B4C" w:rsidP="00367B4C">
      <w:pPr>
        <w:spacing w:after="0" w:line="360" w:lineRule="auto"/>
        <w:jc w:val="both"/>
        <w:rPr>
          <w:rFonts w:eastAsia="Times New Roman"/>
          <w:kern w:val="0"/>
          <w:lang w:eastAsia="en-IN"/>
        </w:rPr>
      </w:pPr>
      <w:r w:rsidRPr="00C268AD">
        <w:rPr>
          <w:rFonts w:eastAsia="Times New Roman"/>
          <w:kern w:val="0"/>
          <w:lang w:eastAsia="en-IN"/>
        </w:rPr>
        <w:t>The methodical approach that researchers take to gather, examine, and evaluate data in order to find answers to research questions or validate hypotheses is known as research methodology. It basically acts as a guide to ensure the validity and reliability of a research study as it is being conducted.</w:t>
      </w:r>
    </w:p>
    <w:p w:rsidR="00367B4C" w:rsidRPr="00243058" w:rsidRDefault="00367B4C" w:rsidP="00367B4C">
      <w:pPr>
        <w:spacing w:line="360" w:lineRule="auto"/>
        <w:jc w:val="both"/>
        <w:rPr>
          <w:b/>
          <w:bCs/>
          <w:lang w:val="en-US"/>
        </w:rPr>
      </w:pPr>
    </w:p>
    <w:p w:rsidR="00367B4C" w:rsidRPr="00C268AD" w:rsidRDefault="00367B4C" w:rsidP="00367B4C">
      <w:pPr>
        <w:spacing w:line="360" w:lineRule="auto"/>
        <w:jc w:val="both"/>
        <w:rPr>
          <w:b/>
          <w:bCs/>
          <w:lang w:val="en-US"/>
        </w:rPr>
      </w:pPr>
      <w:r w:rsidRPr="00C268AD">
        <w:rPr>
          <w:b/>
          <w:bCs/>
          <w:lang w:val="en-US"/>
        </w:rPr>
        <w:t>1.</w:t>
      </w:r>
      <w:r>
        <w:rPr>
          <w:b/>
          <w:bCs/>
          <w:lang w:val="en-US"/>
        </w:rPr>
        <w:t>7</w:t>
      </w:r>
      <w:r w:rsidRPr="00C268AD">
        <w:rPr>
          <w:b/>
          <w:bCs/>
          <w:lang w:val="en-US"/>
        </w:rPr>
        <w:t>.1 RESEARCH DESIGN</w:t>
      </w:r>
    </w:p>
    <w:p w:rsidR="00367B4C" w:rsidRPr="00C268AD" w:rsidRDefault="00367B4C" w:rsidP="00367B4C">
      <w:pPr>
        <w:spacing w:line="360" w:lineRule="auto"/>
        <w:jc w:val="both"/>
        <w:rPr>
          <w:lang w:val="en-US"/>
        </w:rPr>
      </w:pPr>
      <w:r w:rsidRPr="00C268AD">
        <w:rPr>
          <w:lang w:val="en-US"/>
        </w:rPr>
        <w:t>The type of research design opted for this research is case study method. A case study is a An in-depth examination of a particular phenomena, program, organization, person, or event in its actual setting is possible through the use of a case study research strategy. It goes farther than conventional research techniques and enables you to comprehend the subtleties, complexities, and intricacies of the topic of choice.</w:t>
      </w:r>
    </w:p>
    <w:p w:rsidR="00367B4C" w:rsidRPr="00C268AD" w:rsidRDefault="00367B4C" w:rsidP="00367B4C">
      <w:pPr>
        <w:spacing w:line="360" w:lineRule="auto"/>
        <w:jc w:val="both"/>
        <w:rPr>
          <w:b/>
          <w:bCs/>
          <w:lang w:val="en-US"/>
        </w:rPr>
      </w:pPr>
      <w:r w:rsidRPr="00C268AD">
        <w:rPr>
          <w:b/>
          <w:bCs/>
          <w:lang w:val="en-US"/>
        </w:rPr>
        <w:t>1.</w:t>
      </w:r>
      <w:r>
        <w:rPr>
          <w:b/>
          <w:bCs/>
          <w:lang w:val="en-US"/>
        </w:rPr>
        <w:t>7</w:t>
      </w:r>
      <w:r w:rsidRPr="00C268AD">
        <w:rPr>
          <w:b/>
          <w:bCs/>
          <w:lang w:val="en-US"/>
        </w:rPr>
        <w:t>.2 DATA COLLECTION</w:t>
      </w:r>
    </w:p>
    <w:p w:rsidR="00367B4C" w:rsidRPr="00C268AD" w:rsidRDefault="00367B4C" w:rsidP="00367B4C">
      <w:pPr>
        <w:spacing w:line="360" w:lineRule="auto"/>
        <w:jc w:val="both"/>
        <w:rPr>
          <w:lang w:val="en-US"/>
        </w:rPr>
      </w:pPr>
      <w:r w:rsidRPr="00C268AD">
        <w:rPr>
          <w:lang w:val="en-US"/>
        </w:rPr>
        <w:t>the data are collected based on secondary data. The published quarterly results of the companies are collected from their official websites. The shareholding pattern and the price fluctuations of the companies are collected from various stock analysis websites.</w:t>
      </w:r>
    </w:p>
    <w:p w:rsidR="00367B4C" w:rsidRPr="00C268AD" w:rsidRDefault="00367B4C" w:rsidP="00367B4C">
      <w:pPr>
        <w:spacing w:line="360" w:lineRule="auto"/>
        <w:jc w:val="both"/>
        <w:rPr>
          <w:b/>
          <w:bCs/>
          <w:lang w:val="en-US"/>
        </w:rPr>
      </w:pPr>
      <w:r w:rsidRPr="00C268AD">
        <w:rPr>
          <w:b/>
          <w:bCs/>
          <w:lang w:val="en-US"/>
        </w:rPr>
        <w:t>1.</w:t>
      </w:r>
      <w:r>
        <w:rPr>
          <w:b/>
          <w:bCs/>
          <w:lang w:val="en-US"/>
        </w:rPr>
        <w:t>7</w:t>
      </w:r>
      <w:r w:rsidRPr="00C268AD">
        <w:rPr>
          <w:b/>
          <w:bCs/>
          <w:lang w:val="en-US"/>
        </w:rPr>
        <w:t>.3 TOOLS FOR ANALYSIS</w:t>
      </w:r>
    </w:p>
    <w:p w:rsidR="00367B4C" w:rsidRPr="00C268AD" w:rsidRDefault="00367B4C" w:rsidP="00367B4C">
      <w:pPr>
        <w:spacing w:line="360" w:lineRule="auto"/>
        <w:jc w:val="both"/>
        <w:rPr>
          <w:lang w:val="en-US"/>
        </w:rPr>
      </w:pPr>
      <w:r w:rsidRPr="00C268AD">
        <w:rPr>
          <w:lang w:val="en-US"/>
        </w:rPr>
        <w:t>Correlation, ratio analysis and trend analysis are used to collect the primary data to study the quarterly results of the fmcg industry.</w:t>
      </w:r>
      <w:r w:rsidRPr="00C268AD">
        <w:t xml:space="preserve"> Different graphs are also used for the </w:t>
      </w:r>
      <w:r w:rsidRPr="00C268AD">
        <w:lastRenderedPageBreak/>
        <w:t xml:space="preserve">analysis like bar charts, line graphs etc. </w:t>
      </w:r>
      <w:r w:rsidRPr="00C268AD">
        <w:rPr>
          <w:lang w:val="en-US"/>
        </w:rPr>
        <w:t>Finding possible connections between different variables is the goal of correlation analysis. Financial statements are examined using ratio analysis to evaluate profitability, liquidity, and efficiency. Lastly, trend analysis monitors data over time to spot trends and project the industry's future course.  With the help of this holistic approach, investors, analysts, and industry participants may all make well-informed decisions about the state of the FMCG industry.</w:t>
      </w:r>
    </w:p>
    <w:p w:rsidR="00367B4C" w:rsidRPr="00C268AD" w:rsidRDefault="00367B4C" w:rsidP="00367B4C">
      <w:pPr>
        <w:spacing w:line="360" w:lineRule="auto"/>
        <w:jc w:val="both"/>
        <w:rPr>
          <w:b/>
          <w:bCs/>
          <w:lang w:val="en-US"/>
        </w:rPr>
      </w:pPr>
      <w:r w:rsidRPr="00C268AD">
        <w:rPr>
          <w:b/>
          <w:bCs/>
          <w:lang w:val="en-US"/>
        </w:rPr>
        <w:t>1.</w:t>
      </w:r>
      <w:r>
        <w:rPr>
          <w:b/>
          <w:bCs/>
          <w:lang w:val="en-US"/>
        </w:rPr>
        <w:t>7</w:t>
      </w:r>
      <w:r w:rsidRPr="00C268AD">
        <w:rPr>
          <w:b/>
          <w:bCs/>
          <w:lang w:val="en-US"/>
        </w:rPr>
        <w:t xml:space="preserve">.4 </w:t>
      </w:r>
      <w:r>
        <w:rPr>
          <w:b/>
          <w:bCs/>
          <w:lang w:val="en-US"/>
        </w:rPr>
        <w:t xml:space="preserve">PERIODS CHOSEN FOR </w:t>
      </w:r>
      <w:r w:rsidRPr="00C268AD">
        <w:rPr>
          <w:b/>
          <w:bCs/>
          <w:lang w:val="en-US"/>
        </w:rPr>
        <w:t>THE STUDY</w:t>
      </w:r>
    </w:p>
    <w:p w:rsidR="00367B4C" w:rsidRDefault="00367B4C" w:rsidP="00367B4C">
      <w:pPr>
        <w:spacing w:line="360" w:lineRule="auto"/>
        <w:jc w:val="both"/>
        <w:rPr>
          <w:lang w:val="en-US"/>
        </w:rPr>
      </w:pPr>
      <w:r w:rsidRPr="00C268AD">
        <w:rPr>
          <w:lang w:val="en-US"/>
        </w:rPr>
        <w:t>The study is conducted for past 9 quarters for the financial years, 2021-22, 2022-23, 2023-24</w:t>
      </w:r>
    </w:p>
    <w:p w:rsidR="00367B4C" w:rsidRPr="00F318FC" w:rsidRDefault="00367B4C" w:rsidP="00367B4C">
      <w:pPr>
        <w:spacing w:line="360" w:lineRule="auto"/>
        <w:jc w:val="both"/>
        <w:rPr>
          <w:lang w:val="en-US"/>
        </w:rPr>
      </w:pPr>
    </w:p>
    <w:p w:rsidR="00367B4C" w:rsidRPr="00C268AD" w:rsidRDefault="00367B4C" w:rsidP="00367B4C">
      <w:pPr>
        <w:spacing w:line="360" w:lineRule="auto"/>
        <w:jc w:val="both"/>
        <w:rPr>
          <w:b/>
          <w:bCs/>
          <w:lang w:val="en-US"/>
        </w:rPr>
      </w:pPr>
      <w:r w:rsidRPr="00C268AD">
        <w:rPr>
          <w:b/>
          <w:bCs/>
          <w:lang w:val="en-US"/>
        </w:rPr>
        <w:t>2021-22</w:t>
      </w:r>
    </w:p>
    <w:p w:rsidR="00367B4C" w:rsidRPr="00C268AD" w:rsidRDefault="00367B4C" w:rsidP="00367B4C">
      <w:pPr>
        <w:spacing w:line="360" w:lineRule="auto"/>
        <w:jc w:val="both"/>
        <w:rPr>
          <w:lang w:val="en-US"/>
        </w:rPr>
      </w:pPr>
      <w:r w:rsidRPr="00C268AD">
        <w:rPr>
          <w:lang w:val="en-US"/>
        </w:rPr>
        <w:t>Quarter II (1</w:t>
      </w:r>
      <w:r w:rsidRPr="00C268AD">
        <w:rPr>
          <w:vertAlign w:val="superscript"/>
          <w:lang w:val="en-US"/>
        </w:rPr>
        <w:t>st</w:t>
      </w:r>
      <w:r w:rsidRPr="00C268AD">
        <w:rPr>
          <w:lang w:val="en-US"/>
        </w:rPr>
        <w:t xml:space="preserve"> july2021-30</w:t>
      </w:r>
      <w:r w:rsidRPr="00C268AD">
        <w:rPr>
          <w:vertAlign w:val="superscript"/>
          <w:lang w:val="en-US"/>
        </w:rPr>
        <w:t>th</w:t>
      </w:r>
      <w:r w:rsidRPr="00C268AD">
        <w:rPr>
          <w:lang w:val="en-US"/>
        </w:rPr>
        <w:t xml:space="preserve"> September 2021)</w:t>
      </w:r>
    </w:p>
    <w:p w:rsidR="00367B4C" w:rsidRPr="00C268AD" w:rsidRDefault="00367B4C" w:rsidP="00367B4C">
      <w:pPr>
        <w:spacing w:line="360" w:lineRule="auto"/>
        <w:jc w:val="both"/>
        <w:rPr>
          <w:lang w:val="en-US"/>
        </w:rPr>
      </w:pPr>
      <w:bookmarkStart w:id="1" w:name="_Hlk153472167"/>
      <w:r w:rsidRPr="00C268AD">
        <w:rPr>
          <w:lang w:val="en-US"/>
        </w:rPr>
        <w:t>Quarter III (1</w:t>
      </w:r>
      <w:r w:rsidRPr="00C268AD">
        <w:rPr>
          <w:vertAlign w:val="superscript"/>
          <w:lang w:val="en-US"/>
        </w:rPr>
        <w:t>st</w:t>
      </w:r>
      <w:r w:rsidRPr="00C268AD">
        <w:rPr>
          <w:lang w:val="en-US"/>
        </w:rPr>
        <w:t xml:space="preserve"> October 2021 -31</w:t>
      </w:r>
      <w:r w:rsidRPr="00C268AD">
        <w:rPr>
          <w:vertAlign w:val="superscript"/>
          <w:lang w:val="en-US"/>
        </w:rPr>
        <w:t>st</w:t>
      </w:r>
      <w:r w:rsidRPr="00C268AD">
        <w:rPr>
          <w:lang w:val="en-US"/>
        </w:rPr>
        <w:t xml:space="preserve"> December 2021)</w:t>
      </w:r>
    </w:p>
    <w:p w:rsidR="00367B4C" w:rsidRPr="00C268AD" w:rsidRDefault="00367B4C" w:rsidP="00367B4C">
      <w:pPr>
        <w:spacing w:line="360" w:lineRule="auto"/>
        <w:jc w:val="both"/>
        <w:rPr>
          <w:lang w:val="en-US"/>
        </w:rPr>
      </w:pPr>
      <w:r w:rsidRPr="00C268AD">
        <w:rPr>
          <w:lang w:val="en-US"/>
        </w:rPr>
        <w:t>Quarter IV (1</w:t>
      </w:r>
      <w:r w:rsidRPr="00C268AD">
        <w:rPr>
          <w:vertAlign w:val="superscript"/>
          <w:lang w:val="en-US"/>
        </w:rPr>
        <w:t>st</w:t>
      </w:r>
      <w:r w:rsidRPr="00C268AD">
        <w:rPr>
          <w:lang w:val="en-US"/>
        </w:rPr>
        <w:t xml:space="preserve"> January 2022- 31</w:t>
      </w:r>
      <w:r w:rsidRPr="00C268AD">
        <w:rPr>
          <w:vertAlign w:val="superscript"/>
          <w:lang w:val="en-US"/>
        </w:rPr>
        <w:t>st</w:t>
      </w:r>
      <w:r w:rsidRPr="00C268AD">
        <w:rPr>
          <w:lang w:val="en-US"/>
        </w:rPr>
        <w:t xml:space="preserve"> March 2022)</w:t>
      </w:r>
      <w:bookmarkEnd w:id="1"/>
    </w:p>
    <w:p w:rsidR="00367B4C" w:rsidRPr="00C268AD" w:rsidRDefault="00367B4C" w:rsidP="00367B4C">
      <w:pPr>
        <w:spacing w:line="360" w:lineRule="auto"/>
        <w:jc w:val="both"/>
        <w:rPr>
          <w:b/>
          <w:bCs/>
          <w:lang w:val="en-US"/>
        </w:rPr>
      </w:pPr>
      <w:r w:rsidRPr="00C268AD">
        <w:rPr>
          <w:b/>
          <w:bCs/>
          <w:lang w:val="en-US"/>
        </w:rPr>
        <w:t>2022-23</w:t>
      </w:r>
    </w:p>
    <w:p w:rsidR="00367B4C" w:rsidRPr="00C268AD" w:rsidRDefault="00367B4C" w:rsidP="00367B4C">
      <w:pPr>
        <w:spacing w:line="360" w:lineRule="auto"/>
        <w:jc w:val="both"/>
        <w:rPr>
          <w:lang w:val="en-US"/>
        </w:rPr>
      </w:pPr>
      <w:bookmarkStart w:id="2" w:name="_Hlk153472242"/>
      <w:r w:rsidRPr="00C268AD">
        <w:rPr>
          <w:lang w:val="en-US"/>
        </w:rPr>
        <w:t>Quarter I (1</w:t>
      </w:r>
      <w:r w:rsidRPr="00C268AD">
        <w:rPr>
          <w:vertAlign w:val="superscript"/>
          <w:lang w:val="en-US"/>
        </w:rPr>
        <w:t>st</w:t>
      </w:r>
      <w:r w:rsidRPr="00C268AD">
        <w:rPr>
          <w:lang w:val="en-US"/>
        </w:rPr>
        <w:t xml:space="preserve"> April 2022- 30</w:t>
      </w:r>
      <w:r w:rsidRPr="00C268AD">
        <w:rPr>
          <w:vertAlign w:val="superscript"/>
          <w:lang w:val="en-US"/>
        </w:rPr>
        <w:t>th</w:t>
      </w:r>
      <w:r w:rsidRPr="00C268AD">
        <w:rPr>
          <w:lang w:val="en-US"/>
        </w:rPr>
        <w:t xml:space="preserve"> June 2022)</w:t>
      </w:r>
    </w:p>
    <w:p w:rsidR="00367B4C" w:rsidRPr="00C268AD" w:rsidRDefault="00367B4C" w:rsidP="00367B4C">
      <w:pPr>
        <w:spacing w:line="360" w:lineRule="auto"/>
        <w:jc w:val="both"/>
        <w:rPr>
          <w:lang w:val="en-US"/>
        </w:rPr>
      </w:pPr>
      <w:r w:rsidRPr="00C268AD">
        <w:rPr>
          <w:lang w:val="en-US"/>
        </w:rPr>
        <w:t>Quarter II (1</w:t>
      </w:r>
      <w:r w:rsidRPr="00C268AD">
        <w:rPr>
          <w:vertAlign w:val="superscript"/>
          <w:lang w:val="en-US"/>
        </w:rPr>
        <w:t>st</w:t>
      </w:r>
      <w:r w:rsidRPr="00C268AD">
        <w:rPr>
          <w:lang w:val="en-US"/>
        </w:rPr>
        <w:t xml:space="preserve"> July 2022 – 30</w:t>
      </w:r>
      <w:r w:rsidRPr="00C268AD">
        <w:rPr>
          <w:vertAlign w:val="superscript"/>
          <w:lang w:val="en-US"/>
        </w:rPr>
        <w:t>th</w:t>
      </w:r>
      <w:r w:rsidRPr="00C268AD">
        <w:rPr>
          <w:lang w:val="en-US"/>
        </w:rPr>
        <w:t xml:space="preserve"> September 2022)</w:t>
      </w:r>
    </w:p>
    <w:p w:rsidR="00367B4C" w:rsidRPr="00C268AD" w:rsidRDefault="00367B4C" w:rsidP="00367B4C">
      <w:pPr>
        <w:spacing w:line="360" w:lineRule="auto"/>
        <w:jc w:val="both"/>
        <w:rPr>
          <w:lang w:val="en-US"/>
        </w:rPr>
      </w:pPr>
      <w:r w:rsidRPr="00C268AD">
        <w:rPr>
          <w:lang w:val="en-US"/>
        </w:rPr>
        <w:t>Quarter III (1</w:t>
      </w:r>
      <w:r w:rsidRPr="00C268AD">
        <w:rPr>
          <w:vertAlign w:val="superscript"/>
          <w:lang w:val="en-US"/>
        </w:rPr>
        <w:t>st</w:t>
      </w:r>
      <w:r w:rsidRPr="00C268AD">
        <w:rPr>
          <w:lang w:val="en-US"/>
        </w:rPr>
        <w:t xml:space="preserve"> October 2022 -31</w:t>
      </w:r>
      <w:r w:rsidRPr="00C268AD">
        <w:rPr>
          <w:vertAlign w:val="superscript"/>
          <w:lang w:val="en-US"/>
        </w:rPr>
        <w:t>st</w:t>
      </w:r>
      <w:r w:rsidRPr="00C268AD">
        <w:rPr>
          <w:lang w:val="en-US"/>
        </w:rPr>
        <w:t xml:space="preserve"> December 2022)</w:t>
      </w:r>
    </w:p>
    <w:bookmarkEnd w:id="2"/>
    <w:p w:rsidR="00367B4C" w:rsidRPr="00C268AD" w:rsidRDefault="00367B4C" w:rsidP="00367B4C">
      <w:pPr>
        <w:spacing w:line="360" w:lineRule="auto"/>
        <w:jc w:val="both"/>
        <w:rPr>
          <w:lang w:val="en-US"/>
        </w:rPr>
      </w:pPr>
      <w:r w:rsidRPr="00C268AD">
        <w:rPr>
          <w:lang w:val="en-US"/>
        </w:rPr>
        <w:t>Quarter IV (1</w:t>
      </w:r>
      <w:r w:rsidRPr="00C268AD">
        <w:rPr>
          <w:vertAlign w:val="superscript"/>
          <w:lang w:val="en-US"/>
        </w:rPr>
        <w:t>st</w:t>
      </w:r>
      <w:r w:rsidRPr="00C268AD">
        <w:rPr>
          <w:lang w:val="en-US"/>
        </w:rPr>
        <w:t xml:space="preserve"> January 2023- 31</w:t>
      </w:r>
      <w:r w:rsidRPr="00C268AD">
        <w:rPr>
          <w:vertAlign w:val="superscript"/>
          <w:lang w:val="en-US"/>
        </w:rPr>
        <w:t>st</w:t>
      </w:r>
      <w:r w:rsidRPr="00C268AD">
        <w:rPr>
          <w:lang w:val="en-US"/>
        </w:rPr>
        <w:t xml:space="preserve"> March 2023)</w:t>
      </w:r>
    </w:p>
    <w:p w:rsidR="00367B4C" w:rsidRPr="00C268AD" w:rsidRDefault="00367B4C" w:rsidP="00367B4C">
      <w:pPr>
        <w:spacing w:line="360" w:lineRule="auto"/>
        <w:jc w:val="both"/>
        <w:rPr>
          <w:b/>
          <w:bCs/>
          <w:lang w:val="en-US"/>
        </w:rPr>
      </w:pPr>
      <w:r w:rsidRPr="00C268AD">
        <w:rPr>
          <w:b/>
          <w:bCs/>
          <w:lang w:val="en-US"/>
        </w:rPr>
        <w:t>2023-24</w:t>
      </w:r>
    </w:p>
    <w:p w:rsidR="00367B4C" w:rsidRPr="00C268AD" w:rsidRDefault="00367B4C" w:rsidP="00367B4C">
      <w:pPr>
        <w:spacing w:line="360" w:lineRule="auto"/>
        <w:jc w:val="both"/>
        <w:rPr>
          <w:lang w:val="en-US"/>
        </w:rPr>
      </w:pPr>
      <w:r w:rsidRPr="00C268AD">
        <w:rPr>
          <w:lang w:val="en-US"/>
        </w:rPr>
        <w:t>Quarter I (1</w:t>
      </w:r>
      <w:r w:rsidRPr="00C268AD">
        <w:rPr>
          <w:vertAlign w:val="superscript"/>
          <w:lang w:val="en-US"/>
        </w:rPr>
        <w:t>st</w:t>
      </w:r>
      <w:r w:rsidRPr="00C268AD">
        <w:rPr>
          <w:lang w:val="en-US"/>
        </w:rPr>
        <w:t xml:space="preserve"> April 2023- 30</w:t>
      </w:r>
      <w:r w:rsidRPr="00C268AD">
        <w:rPr>
          <w:vertAlign w:val="superscript"/>
          <w:lang w:val="en-US"/>
        </w:rPr>
        <w:t>th</w:t>
      </w:r>
      <w:r w:rsidRPr="00C268AD">
        <w:rPr>
          <w:lang w:val="en-US"/>
        </w:rPr>
        <w:t xml:space="preserve"> June 2023)</w:t>
      </w:r>
    </w:p>
    <w:p w:rsidR="00367B4C" w:rsidRPr="00C268AD" w:rsidRDefault="00367B4C" w:rsidP="00367B4C">
      <w:pPr>
        <w:spacing w:line="360" w:lineRule="auto"/>
        <w:jc w:val="both"/>
        <w:rPr>
          <w:lang w:val="en-US"/>
        </w:rPr>
      </w:pPr>
      <w:r w:rsidRPr="00C268AD">
        <w:rPr>
          <w:lang w:val="en-US"/>
        </w:rPr>
        <w:t>Quarter II (1</w:t>
      </w:r>
      <w:r w:rsidRPr="00C268AD">
        <w:rPr>
          <w:vertAlign w:val="superscript"/>
          <w:lang w:val="en-US"/>
        </w:rPr>
        <w:t>st</w:t>
      </w:r>
      <w:r w:rsidRPr="00C268AD">
        <w:rPr>
          <w:lang w:val="en-US"/>
        </w:rPr>
        <w:t xml:space="preserve"> July 20223– 30</w:t>
      </w:r>
      <w:r w:rsidRPr="00C268AD">
        <w:rPr>
          <w:vertAlign w:val="superscript"/>
          <w:lang w:val="en-US"/>
        </w:rPr>
        <w:t>th</w:t>
      </w:r>
      <w:r w:rsidRPr="00C268AD">
        <w:rPr>
          <w:lang w:val="en-US"/>
        </w:rPr>
        <w:t xml:space="preserve"> September 2023)</w:t>
      </w:r>
    </w:p>
    <w:p w:rsidR="00367B4C" w:rsidRPr="00C268AD" w:rsidRDefault="00367B4C" w:rsidP="00367B4C">
      <w:pPr>
        <w:spacing w:line="360" w:lineRule="auto"/>
        <w:jc w:val="both"/>
        <w:rPr>
          <w:b/>
          <w:bCs/>
          <w:lang w:val="en-US"/>
        </w:rPr>
      </w:pPr>
      <w:r w:rsidRPr="00C268AD">
        <w:rPr>
          <w:b/>
          <w:bCs/>
          <w:lang w:val="en-US"/>
        </w:rPr>
        <w:t>1.</w:t>
      </w:r>
      <w:r>
        <w:rPr>
          <w:b/>
          <w:bCs/>
          <w:lang w:val="en-US"/>
        </w:rPr>
        <w:t>7</w:t>
      </w:r>
      <w:r w:rsidRPr="00C268AD">
        <w:rPr>
          <w:b/>
          <w:bCs/>
          <w:lang w:val="en-US"/>
        </w:rPr>
        <w:t xml:space="preserve">.5 POPULATION </w:t>
      </w:r>
    </w:p>
    <w:p w:rsidR="00367B4C" w:rsidRPr="00C268AD" w:rsidRDefault="00367B4C" w:rsidP="00367B4C">
      <w:pPr>
        <w:spacing w:line="360" w:lineRule="auto"/>
        <w:jc w:val="both"/>
        <w:rPr>
          <w:lang w:val="en-US"/>
        </w:rPr>
      </w:pPr>
      <w:r w:rsidRPr="00C268AD">
        <w:rPr>
          <w:lang w:val="en-US"/>
        </w:rPr>
        <w:t>The population includes the companies that are there in the FMCG Industry</w:t>
      </w:r>
      <w:r>
        <w:rPr>
          <w:lang w:val="en-US"/>
        </w:rPr>
        <w:t xml:space="preserve"> in India</w:t>
      </w:r>
    </w:p>
    <w:p w:rsidR="00367B4C" w:rsidRPr="00C268AD" w:rsidRDefault="00367B4C" w:rsidP="00367B4C">
      <w:pPr>
        <w:spacing w:line="360" w:lineRule="auto"/>
        <w:jc w:val="both"/>
        <w:rPr>
          <w:b/>
          <w:bCs/>
          <w:lang w:val="en-US"/>
        </w:rPr>
      </w:pPr>
      <w:r w:rsidRPr="00C268AD">
        <w:rPr>
          <w:b/>
          <w:bCs/>
          <w:lang w:val="en-US"/>
        </w:rPr>
        <w:t>1.</w:t>
      </w:r>
      <w:r>
        <w:rPr>
          <w:b/>
          <w:bCs/>
          <w:lang w:val="en-US"/>
        </w:rPr>
        <w:t>7</w:t>
      </w:r>
      <w:r w:rsidRPr="00C268AD">
        <w:rPr>
          <w:b/>
          <w:bCs/>
          <w:lang w:val="en-US"/>
        </w:rPr>
        <w:t>.6 SAMPLE SIZE</w:t>
      </w:r>
    </w:p>
    <w:p w:rsidR="00367B4C" w:rsidRPr="00C268AD" w:rsidRDefault="00367B4C" w:rsidP="00367B4C">
      <w:pPr>
        <w:spacing w:line="360" w:lineRule="auto"/>
        <w:rPr>
          <w:lang w:val="en-US"/>
        </w:rPr>
      </w:pPr>
      <w:r w:rsidRPr="00C268AD">
        <w:rPr>
          <w:lang w:val="en-US"/>
        </w:rPr>
        <w:lastRenderedPageBreak/>
        <w:t>From the population 5 companies are selected for this study on the basis of their market share, market capitalization and turnover</w:t>
      </w:r>
    </w:p>
    <w:tbl>
      <w:tblPr>
        <w:tblStyle w:val="Footer"/>
        <w:tblW w:w="8449" w:type="dxa"/>
        <w:tblLook w:val="04A0"/>
      </w:tblPr>
      <w:tblGrid>
        <w:gridCol w:w="883"/>
        <w:gridCol w:w="3399"/>
        <w:gridCol w:w="1299"/>
        <w:gridCol w:w="1550"/>
        <w:gridCol w:w="1318"/>
      </w:tblGrid>
      <w:tr w:rsidR="00367B4C" w:rsidRPr="00C268AD" w:rsidTr="00367B4C">
        <w:trPr>
          <w:trHeight w:val="307"/>
        </w:trPr>
        <w:tc>
          <w:tcPr>
            <w:tcW w:w="883" w:type="dxa"/>
          </w:tcPr>
          <w:p w:rsidR="00367B4C" w:rsidRPr="00C268AD" w:rsidRDefault="00367B4C" w:rsidP="00367B4C">
            <w:pPr>
              <w:spacing w:line="360" w:lineRule="auto"/>
              <w:jc w:val="center"/>
              <w:rPr>
                <w:lang w:val="en-US"/>
              </w:rPr>
            </w:pPr>
            <w:r w:rsidRPr="00C268AD">
              <w:rPr>
                <w:lang w:val="en-US"/>
              </w:rPr>
              <w:t>s.no</w:t>
            </w:r>
          </w:p>
        </w:tc>
        <w:tc>
          <w:tcPr>
            <w:tcW w:w="3399" w:type="dxa"/>
          </w:tcPr>
          <w:p w:rsidR="00367B4C" w:rsidRPr="00C268AD" w:rsidRDefault="00367B4C" w:rsidP="00367B4C">
            <w:pPr>
              <w:spacing w:line="360" w:lineRule="auto"/>
              <w:jc w:val="center"/>
              <w:rPr>
                <w:lang w:val="en-US"/>
              </w:rPr>
            </w:pPr>
            <w:r w:rsidRPr="00C268AD">
              <w:rPr>
                <w:lang w:val="en-US"/>
              </w:rPr>
              <w:t>COMPANIES</w:t>
            </w:r>
          </w:p>
        </w:tc>
        <w:tc>
          <w:tcPr>
            <w:tcW w:w="1299" w:type="dxa"/>
          </w:tcPr>
          <w:p w:rsidR="00367B4C" w:rsidRPr="00C268AD" w:rsidRDefault="00367B4C" w:rsidP="00367B4C">
            <w:pPr>
              <w:spacing w:line="360" w:lineRule="auto"/>
              <w:jc w:val="center"/>
              <w:rPr>
                <w:lang w:val="en-US"/>
              </w:rPr>
            </w:pPr>
            <w:r w:rsidRPr="00C268AD">
              <w:rPr>
                <w:lang w:val="en-US"/>
              </w:rPr>
              <w:t>Market share</w:t>
            </w:r>
          </w:p>
          <w:p w:rsidR="00367B4C" w:rsidRPr="00C268AD" w:rsidRDefault="00367B4C" w:rsidP="00367B4C">
            <w:pPr>
              <w:spacing w:line="360" w:lineRule="auto"/>
              <w:jc w:val="center"/>
              <w:rPr>
                <w:lang w:val="en-US"/>
              </w:rPr>
            </w:pPr>
            <w:r w:rsidRPr="00C268AD">
              <w:rPr>
                <w:lang w:val="en-US"/>
              </w:rPr>
              <w:t>(%)</w:t>
            </w:r>
          </w:p>
        </w:tc>
        <w:tc>
          <w:tcPr>
            <w:tcW w:w="1550" w:type="dxa"/>
          </w:tcPr>
          <w:p w:rsidR="00367B4C" w:rsidRPr="00C268AD" w:rsidRDefault="00367B4C" w:rsidP="00367B4C">
            <w:pPr>
              <w:spacing w:line="360" w:lineRule="auto"/>
              <w:jc w:val="center"/>
              <w:rPr>
                <w:lang w:val="en-US"/>
              </w:rPr>
            </w:pPr>
            <w:r w:rsidRPr="00C268AD">
              <w:rPr>
                <w:lang w:val="en-US"/>
              </w:rPr>
              <w:t>Market capitalization</w:t>
            </w:r>
          </w:p>
          <w:p w:rsidR="00367B4C" w:rsidRPr="00C268AD" w:rsidRDefault="00367B4C" w:rsidP="00367B4C">
            <w:pPr>
              <w:spacing w:line="360" w:lineRule="auto"/>
              <w:jc w:val="center"/>
              <w:rPr>
                <w:lang w:val="en-US"/>
              </w:rPr>
            </w:pPr>
            <w:r w:rsidRPr="00C268AD">
              <w:rPr>
                <w:lang w:val="en-US"/>
              </w:rPr>
              <w:t>(in crores)</w:t>
            </w:r>
          </w:p>
        </w:tc>
        <w:tc>
          <w:tcPr>
            <w:tcW w:w="1318" w:type="dxa"/>
          </w:tcPr>
          <w:p w:rsidR="00367B4C" w:rsidRPr="00C268AD" w:rsidRDefault="00367B4C" w:rsidP="00367B4C">
            <w:pPr>
              <w:spacing w:line="360" w:lineRule="auto"/>
              <w:jc w:val="center"/>
              <w:rPr>
                <w:lang w:val="en-US"/>
              </w:rPr>
            </w:pPr>
            <w:r w:rsidRPr="00C268AD">
              <w:rPr>
                <w:lang w:val="en-US"/>
              </w:rPr>
              <w:t xml:space="preserve">Turnover </w:t>
            </w:r>
          </w:p>
          <w:p w:rsidR="00367B4C" w:rsidRPr="00C268AD" w:rsidRDefault="00367B4C" w:rsidP="00367B4C">
            <w:pPr>
              <w:spacing w:line="360" w:lineRule="auto"/>
              <w:rPr>
                <w:lang w:val="en-US"/>
              </w:rPr>
            </w:pPr>
            <w:r w:rsidRPr="00C268AD">
              <w:rPr>
                <w:lang w:val="en-US"/>
              </w:rPr>
              <w:t xml:space="preserve"> (in crores)</w:t>
            </w:r>
          </w:p>
        </w:tc>
      </w:tr>
      <w:tr w:rsidR="00367B4C" w:rsidRPr="00C268AD" w:rsidTr="00367B4C">
        <w:trPr>
          <w:trHeight w:val="346"/>
        </w:trPr>
        <w:tc>
          <w:tcPr>
            <w:tcW w:w="883" w:type="dxa"/>
          </w:tcPr>
          <w:p w:rsidR="00367B4C" w:rsidRPr="00C268AD" w:rsidRDefault="00367B4C" w:rsidP="00367B4C">
            <w:pPr>
              <w:spacing w:line="360" w:lineRule="auto"/>
              <w:jc w:val="center"/>
              <w:rPr>
                <w:lang w:val="en-US"/>
              </w:rPr>
            </w:pPr>
            <w:r w:rsidRPr="00C268AD">
              <w:rPr>
                <w:lang w:val="en-US"/>
              </w:rPr>
              <w:t>1</w:t>
            </w:r>
          </w:p>
        </w:tc>
        <w:tc>
          <w:tcPr>
            <w:tcW w:w="3399" w:type="dxa"/>
          </w:tcPr>
          <w:p w:rsidR="00367B4C" w:rsidRPr="00C268AD" w:rsidRDefault="00367B4C" w:rsidP="00367B4C">
            <w:pPr>
              <w:spacing w:line="360" w:lineRule="auto"/>
              <w:jc w:val="center"/>
              <w:rPr>
                <w:lang w:val="en-US"/>
              </w:rPr>
            </w:pPr>
            <w:r w:rsidRPr="00C268AD">
              <w:rPr>
                <w:lang w:val="en-US"/>
              </w:rPr>
              <w:t>Hindustan Unilever Ltd.</w:t>
            </w:r>
          </w:p>
        </w:tc>
        <w:tc>
          <w:tcPr>
            <w:tcW w:w="1299" w:type="dxa"/>
          </w:tcPr>
          <w:p w:rsidR="00367B4C" w:rsidRPr="00C268AD" w:rsidRDefault="00367B4C" w:rsidP="00367B4C">
            <w:pPr>
              <w:spacing w:line="360" w:lineRule="auto"/>
              <w:rPr>
                <w:lang w:val="en-US"/>
              </w:rPr>
            </w:pPr>
            <w:r w:rsidRPr="00C268AD">
              <w:rPr>
                <w:lang w:val="en-US"/>
              </w:rPr>
              <w:t xml:space="preserve">      35.1</w:t>
            </w:r>
          </w:p>
        </w:tc>
        <w:tc>
          <w:tcPr>
            <w:tcW w:w="1550" w:type="dxa"/>
          </w:tcPr>
          <w:p w:rsidR="00367B4C" w:rsidRPr="00C268AD" w:rsidRDefault="00367B4C" w:rsidP="00367B4C">
            <w:pPr>
              <w:spacing w:before="120" w:after="120" w:line="360" w:lineRule="auto"/>
              <w:jc w:val="center"/>
              <w:rPr>
                <w:color w:val="22222F"/>
              </w:rPr>
            </w:pPr>
            <w:r w:rsidRPr="00C268AD">
              <w:rPr>
                <w:color w:val="22222F"/>
              </w:rPr>
              <w:t>599944.56</w:t>
            </w:r>
          </w:p>
        </w:tc>
        <w:tc>
          <w:tcPr>
            <w:tcW w:w="1318" w:type="dxa"/>
          </w:tcPr>
          <w:p w:rsidR="00367B4C" w:rsidRPr="00C268AD" w:rsidRDefault="00367B4C" w:rsidP="00367B4C">
            <w:pPr>
              <w:spacing w:line="360" w:lineRule="auto"/>
              <w:jc w:val="center"/>
              <w:rPr>
                <w:lang w:val="en-US"/>
              </w:rPr>
            </w:pPr>
            <w:r w:rsidRPr="00C268AD">
              <w:rPr>
                <w:color w:val="040C28"/>
              </w:rPr>
              <w:t>58,154</w:t>
            </w:r>
          </w:p>
        </w:tc>
      </w:tr>
      <w:tr w:rsidR="00367B4C" w:rsidRPr="00C268AD" w:rsidTr="00367B4C">
        <w:trPr>
          <w:trHeight w:val="307"/>
        </w:trPr>
        <w:tc>
          <w:tcPr>
            <w:tcW w:w="883" w:type="dxa"/>
          </w:tcPr>
          <w:p w:rsidR="00367B4C" w:rsidRPr="00C268AD" w:rsidRDefault="00367B4C" w:rsidP="00367B4C">
            <w:pPr>
              <w:spacing w:line="360" w:lineRule="auto"/>
              <w:jc w:val="center"/>
              <w:rPr>
                <w:lang w:val="en-US"/>
              </w:rPr>
            </w:pPr>
            <w:r w:rsidRPr="00C268AD">
              <w:rPr>
                <w:lang w:val="en-US"/>
              </w:rPr>
              <w:t>2</w:t>
            </w:r>
          </w:p>
        </w:tc>
        <w:tc>
          <w:tcPr>
            <w:tcW w:w="3399" w:type="dxa"/>
          </w:tcPr>
          <w:p w:rsidR="00367B4C" w:rsidRPr="00C268AD" w:rsidRDefault="00367B4C" w:rsidP="00367B4C">
            <w:pPr>
              <w:spacing w:line="360" w:lineRule="auto"/>
              <w:jc w:val="center"/>
              <w:rPr>
                <w:lang w:val="en-US"/>
              </w:rPr>
            </w:pPr>
            <w:r w:rsidRPr="00C268AD">
              <w:rPr>
                <w:lang w:val="en-US"/>
              </w:rPr>
              <w:t>Indian Tobacco Company Ltd.</w:t>
            </w:r>
          </w:p>
        </w:tc>
        <w:tc>
          <w:tcPr>
            <w:tcW w:w="1299" w:type="dxa"/>
          </w:tcPr>
          <w:p w:rsidR="00367B4C" w:rsidRPr="00C268AD" w:rsidRDefault="00367B4C" w:rsidP="00367B4C">
            <w:pPr>
              <w:spacing w:line="360" w:lineRule="auto"/>
              <w:jc w:val="center"/>
              <w:rPr>
                <w:lang w:val="en-US"/>
              </w:rPr>
            </w:pPr>
            <w:r w:rsidRPr="00C268AD">
              <w:rPr>
                <w:lang w:val="en-US"/>
              </w:rPr>
              <w:t>13.7</w:t>
            </w:r>
          </w:p>
        </w:tc>
        <w:tc>
          <w:tcPr>
            <w:tcW w:w="1550" w:type="dxa"/>
          </w:tcPr>
          <w:p w:rsidR="00367B4C" w:rsidRPr="00C268AD" w:rsidRDefault="00367B4C" w:rsidP="00367B4C">
            <w:pPr>
              <w:spacing w:line="360" w:lineRule="auto"/>
              <w:jc w:val="center"/>
              <w:rPr>
                <w:lang w:val="en-US"/>
              </w:rPr>
            </w:pPr>
            <w:r w:rsidRPr="00C268AD">
              <w:rPr>
                <w:lang w:val="en-US"/>
              </w:rPr>
              <w:t>564146.93</w:t>
            </w:r>
          </w:p>
        </w:tc>
        <w:tc>
          <w:tcPr>
            <w:tcW w:w="1318" w:type="dxa"/>
          </w:tcPr>
          <w:p w:rsidR="00367B4C" w:rsidRPr="00C268AD" w:rsidRDefault="00367B4C" w:rsidP="00367B4C">
            <w:pPr>
              <w:spacing w:line="360" w:lineRule="auto"/>
              <w:jc w:val="center"/>
              <w:rPr>
                <w:lang w:val="en-US"/>
              </w:rPr>
            </w:pPr>
            <w:r w:rsidRPr="00C268AD">
              <w:rPr>
                <w:lang w:val="en-US"/>
              </w:rPr>
              <w:t>75,826.58</w:t>
            </w:r>
          </w:p>
        </w:tc>
      </w:tr>
      <w:tr w:rsidR="00367B4C" w:rsidRPr="00C268AD" w:rsidTr="00367B4C">
        <w:trPr>
          <w:trHeight w:val="307"/>
        </w:trPr>
        <w:tc>
          <w:tcPr>
            <w:tcW w:w="883" w:type="dxa"/>
          </w:tcPr>
          <w:p w:rsidR="00367B4C" w:rsidRPr="00C268AD" w:rsidRDefault="00367B4C" w:rsidP="00367B4C">
            <w:pPr>
              <w:spacing w:line="360" w:lineRule="auto"/>
              <w:jc w:val="center"/>
              <w:rPr>
                <w:lang w:val="en-US"/>
              </w:rPr>
            </w:pPr>
            <w:r w:rsidRPr="00C268AD">
              <w:rPr>
                <w:lang w:val="en-US"/>
              </w:rPr>
              <w:t>3</w:t>
            </w:r>
          </w:p>
        </w:tc>
        <w:tc>
          <w:tcPr>
            <w:tcW w:w="3399" w:type="dxa"/>
          </w:tcPr>
          <w:p w:rsidR="00367B4C" w:rsidRPr="00C268AD" w:rsidRDefault="00367B4C" w:rsidP="00367B4C">
            <w:pPr>
              <w:spacing w:line="360" w:lineRule="auto"/>
              <w:jc w:val="center"/>
              <w:rPr>
                <w:lang w:val="en-US"/>
              </w:rPr>
            </w:pPr>
            <w:r w:rsidRPr="00C268AD">
              <w:rPr>
                <w:lang w:val="en-US"/>
              </w:rPr>
              <w:t xml:space="preserve">Colgate and Palmolive (India) Ltd. </w:t>
            </w:r>
          </w:p>
        </w:tc>
        <w:tc>
          <w:tcPr>
            <w:tcW w:w="1299" w:type="dxa"/>
          </w:tcPr>
          <w:p w:rsidR="00367B4C" w:rsidRPr="00C268AD" w:rsidRDefault="00367B4C" w:rsidP="00367B4C">
            <w:pPr>
              <w:spacing w:line="360" w:lineRule="auto"/>
              <w:jc w:val="center"/>
              <w:rPr>
                <w:lang w:val="en-US"/>
              </w:rPr>
            </w:pPr>
            <w:r w:rsidRPr="00C268AD">
              <w:rPr>
                <w:lang w:val="en-US"/>
              </w:rPr>
              <w:t>7.5</w:t>
            </w:r>
          </w:p>
        </w:tc>
        <w:tc>
          <w:tcPr>
            <w:tcW w:w="1550" w:type="dxa"/>
          </w:tcPr>
          <w:p w:rsidR="00367B4C" w:rsidRPr="00C268AD" w:rsidRDefault="00367B4C" w:rsidP="00367B4C">
            <w:pPr>
              <w:spacing w:before="120" w:after="120" w:line="360" w:lineRule="auto"/>
              <w:jc w:val="center"/>
              <w:rPr>
                <w:color w:val="22222F"/>
              </w:rPr>
            </w:pPr>
            <w:r w:rsidRPr="00C268AD">
              <w:rPr>
                <w:color w:val="22222F"/>
              </w:rPr>
              <w:t>65004.62</w:t>
            </w:r>
          </w:p>
        </w:tc>
        <w:tc>
          <w:tcPr>
            <w:tcW w:w="1318" w:type="dxa"/>
          </w:tcPr>
          <w:p w:rsidR="00367B4C" w:rsidRPr="00C268AD" w:rsidRDefault="00367B4C" w:rsidP="00367B4C">
            <w:pPr>
              <w:spacing w:line="360" w:lineRule="auto"/>
              <w:jc w:val="center"/>
              <w:rPr>
                <w:lang w:val="en-US"/>
              </w:rPr>
            </w:pPr>
            <w:r w:rsidRPr="00C268AD">
              <w:rPr>
                <w:lang w:val="en-US"/>
              </w:rPr>
              <w:t>5,226</w:t>
            </w:r>
          </w:p>
        </w:tc>
      </w:tr>
      <w:tr w:rsidR="00367B4C" w:rsidRPr="00C268AD" w:rsidTr="00367B4C">
        <w:trPr>
          <w:trHeight w:val="307"/>
        </w:trPr>
        <w:tc>
          <w:tcPr>
            <w:tcW w:w="883" w:type="dxa"/>
          </w:tcPr>
          <w:p w:rsidR="00367B4C" w:rsidRPr="00C268AD" w:rsidRDefault="00367B4C" w:rsidP="00367B4C">
            <w:pPr>
              <w:spacing w:line="360" w:lineRule="auto"/>
              <w:jc w:val="center"/>
              <w:rPr>
                <w:lang w:val="en-US"/>
              </w:rPr>
            </w:pPr>
            <w:r w:rsidRPr="00C268AD">
              <w:rPr>
                <w:lang w:val="en-US"/>
              </w:rPr>
              <w:t>4</w:t>
            </w:r>
          </w:p>
        </w:tc>
        <w:tc>
          <w:tcPr>
            <w:tcW w:w="3399" w:type="dxa"/>
          </w:tcPr>
          <w:p w:rsidR="00367B4C" w:rsidRPr="00C268AD" w:rsidRDefault="00367B4C" w:rsidP="00367B4C">
            <w:pPr>
              <w:spacing w:line="360" w:lineRule="auto"/>
              <w:jc w:val="center"/>
              <w:rPr>
                <w:lang w:val="en-US"/>
              </w:rPr>
            </w:pPr>
            <w:r w:rsidRPr="00C268AD">
              <w:rPr>
                <w:lang w:val="en-US"/>
              </w:rPr>
              <w:t>Britannia Industries Ltd.</w:t>
            </w:r>
          </w:p>
        </w:tc>
        <w:tc>
          <w:tcPr>
            <w:tcW w:w="1299" w:type="dxa"/>
          </w:tcPr>
          <w:p w:rsidR="00367B4C" w:rsidRPr="00C268AD" w:rsidRDefault="00367B4C" w:rsidP="00367B4C">
            <w:pPr>
              <w:spacing w:line="360" w:lineRule="auto"/>
              <w:jc w:val="center"/>
              <w:rPr>
                <w:lang w:val="en-US"/>
              </w:rPr>
            </w:pPr>
            <w:r w:rsidRPr="00C268AD">
              <w:rPr>
                <w:lang w:val="en-US"/>
              </w:rPr>
              <w:t>5.3</w:t>
            </w:r>
          </w:p>
        </w:tc>
        <w:tc>
          <w:tcPr>
            <w:tcW w:w="1550" w:type="dxa"/>
          </w:tcPr>
          <w:p w:rsidR="00367B4C" w:rsidRPr="00C268AD" w:rsidRDefault="00367B4C" w:rsidP="00367B4C">
            <w:pPr>
              <w:spacing w:line="360" w:lineRule="auto"/>
              <w:jc w:val="center"/>
              <w:rPr>
                <w:lang w:val="en-US"/>
              </w:rPr>
            </w:pPr>
            <w:r w:rsidRPr="00C268AD">
              <w:rPr>
                <w:color w:val="22222F"/>
                <w:spacing w:val="-1"/>
                <w:shd w:val="clear" w:color="auto" w:fill="FFFFFF"/>
              </w:rPr>
              <w:t>121786.64</w:t>
            </w:r>
          </w:p>
        </w:tc>
        <w:tc>
          <w:tcPr>
            <w:tcW w:w="1318" w:type="dxa"/>
          </w:tcPr>
          <w:p w:rsidR="00367B4C" w:rsidRPr="00C268AD" w:rsidRDefault="00367B4C" w:rsidP="00367B4C">
            <w:pPr>
              <w:spacing w:line="360" w:lineRule="auto"/>
              <w:jc w:val="center"/>
              <w:rPr>
                <w:lang w:val="en-US"/>
              </w:rPr>
            </w:pPr>
            <w:r w:rsidRPr="00C268AD">
              <w:rPr>
                <w:color w:val="202124"/>
                <w:shd w:val="clear" w:color="auto" w:fill="FFFFFF"/>
              </w:rPr>
              <w:t>15,839.01</w:t>
            </w:r>
          </w:p>
        </w:tc>
      </w:tr>
      <w:tr w:rsidR="00367B4C" w:rsidRPr="00C268AD" w:rsidTr="00367B4C">
        <w:trPr>
          <w:trHeight w:val="307"/>
        </w:trPr>
        <w:tc>
          <w:tcPr>
            <w:tcW w:w="883" w:type="dxa"/>
          </w:tcPr>
          <w:p w:rsidR="00367B4C" w:rsidRPr="00C268AD" w:rsidRDefault="00367B4C" w:rsidP="00367B4C">
            <w:pPr>
              <w:spacing w:line="360" w:lineRule="auto"/>
              <w:jc w:val="center"/>
              <w:rPr>
                <w:lang w:val="en-US"/>
              </w:rPr>
            </w:pPr>
            <w:r w:rsidRPr="00C268AD">
              <w:rPr>
                <w:lang w:val="en-US"/>
              </w:rPr>
              <w:t>5</w:t>
            </w:r>
          </w:p>
        </w:tc>
        <w:tc>
          <w:tcPr>
            <w:tcW w:w="3399" w:type="dxa"/>
          </w:tcPr>
          <w:p w:rsidR="00367B4C" w:rsidRPr="00C268AD" w:rsidRDefault="00367B4C" w:rsidP="00367B4C">
            <w:pPr>
              <w:spacing w:line="360" w:lineRule="auto"/>
              <w:jc w:val="center"/>
              <w:rPr>
                <w:lang w:val="en-US"/>
              </w:rPr>
            </w:pPr>
            <w:r w:rsidRPr="00C268AD">
              <w:rPr>
                <w:lang w:val="en-US"/>
              </w:rPr>
              <w:t>Dabur India Ltd.</w:t>
            </w:r>
          </w:p>
        </w:tc>
        <w:tc>
          <w:tcPr>
            <w:tcW w:w="1299" w:type="dxa"/>
          </w:tcPr>
          <w:p w:rsidR="00367B4C" w:rsidRPr="00C268AD" w:rsidRDefault="00367B4C" w:rsidP="00367B4C">
            <w:pPr>
              <w:spacing w:line="360" w:lineRule="auto"/>
              <w:jc w:val="center"/>
              <w:rPr>
                <w:lang w:val="en-US"/>
              </w:rPr>
            </w:pPr>
            <w:r w:rsidRPr="00C268AD">
              <w:rPr>
                <w:lang w:val="en-US"/>
              </w:rPr>
              <w:t>4.2</w:t>
            </w:r>
          </w:p>
        </w:tc>
        <w:tc>
          <w:tcPr>
            <w:tcW w:w="1550" w:type="dxa"/>
          </w:tcPr>
          <w:p w:rsidR="00367B4C" w:rsidRPr="00C268AD" w:rsidRDefault="00367B4C" w:rsidP="00367B4C">
            <w:pPr>
              <w:spacing w:line="360" w:lineRule="auto"/>
              <w:jc w:val="center"/>
              <w:rPr>
                <w:lang w:val="en-US"/>
              </w:rPr>
            </w:pPr>
            <w:r w:rsidRPr="00C268AD">
              <w:rPr>
                <w:spacing w:val="-2"/>
                <w:shd w:val="clear" w:color="auto" w:fill="FFFFFF"/>
              </w:rPr>
              <w:t> </w:t>
            </w:r>
            <w:r w:rsidRPr="00C268AD">
              <w:rPr>
                <w:rStyle w:val="number"/>
                <w:spacing w:val="-2"/>
                <w:shd w:val="clear" w:color="auto" w:fill="FFFFFF"/>
              </w:rPr>
              <w:t>94,104</w:t>
            </w:r>
          </w:p>
        </w:tc>
        <w:tc>
          <w:tcPr>
            <w:tcW w:w="1318" w:type="dxa"/>
          </w:tcPr>
          <w:p w:rsidR="00367B4C" w:rsidRPr="00C268AD" w:rsidRDefault="00367B4C" w:rsidP="00367B4C">
            <w:pPr>
              <w:spacing w:line="360" w:lineRule="auto"/>
              <w:jc w:val="center"/>
              <w:rPr>
                <w:lang w:val="en-US"/>
              </w:rPr>
            </w:pPr>
            <w:r w:rsidRPr="00C268AD">
              <w:rPr>
                <w:lang w:val="en-US"/>
              </w:rPr>
              <w:t>11,500</w:t>
            </w:r>
          </w:p>
        </w:tc>
      </w:tr>
    </w:tbl>
    <w:p w:rsidR="00367B4C" w:rsidRDefault="00367B4C" w:rsidP="00367B4C">
      <w:pPr>
        <w:spacing w:line="360" w:lineRule="auto"/>
        <w:jc w:val="both"/>
        <w:rPr>
          <w:lang w:val="en-US"/>
        </w:rPr>
      </w:pPr>
    </w:p>
    <w:p w:rsidR="00367B4C" w:rsidRPr="00C268AD" w:rsidRDefault="00367B4C" w:rsidP="00367B4C">
      <w:pPr>
        <w:spacing w:line="360" w:lineRule="auto"/>
        <w:jc w:val="both"/>
        <w:rPr>
          <w:lang w:val="en-US"/>
        </w:rPr>
      </w:pPr>
    </w:p>
    <w:p w:rsidR="00367B4C" w:rsidRPr="001B0C9A" w:rsidRDefault="00367B4C" w:rsidP="00367B4C">
      <w:pPr>
        <w:pStyle w:val="ListParagraph"/>
        <w:numPr>
          <w:ilvl w:val="1"/>
          <w:numId w:val="8"/>
        </w:numPr>
        <w:spacing w:line="360" w:lineRule="auto"/>
        <w:jc w:val="both"/>
        <w:rPr>
          <w:b/>
          <w:bCs/>
          <w:sz w:val="28"/>
          <w:szCs w:val="28"/>
          <w:lang w:val="en-US"/>
        </w:rPr>
      </w:pPr>
      <w:r w:rsidRPr="001B0C9A">
        <w:rPr>
          <w:b/>
          <w:bCs/>
          <w:sz w:val="28"/>
          <w:szCs w:val="28"/>
          <w:lang w:val="en-US"/>
        </w:rPr>
        <w:t xml:space="preserve"> LIMITATIONS OF THE STUDY</w:t>
      </w:r>
    </w:p>
    <w:p w:rsidR="00367B4C" w:rsidRPr="004876EF" w:rsidRDefault="00367B4C" w:rsidP="00367B4C">
      <w:pPr>
        <w:pStyle w:val="ListParagraph"/>
        <w:numPr>
          <w:ilvl w:val="0"/>
          <w:numId w:val="9"/>
        </w:numPr>
        <w:spacing w:line="360" w:lineRule="auto"/>
        <w:jc w:val="both"/>
        <w:rPr>
          <w:lang w:val="en-US"/>
        </w:rPr>
      </w:pPr>
      <w:r w:rsidRPr="004876EF">
        <w:rPr>
          <w:rFonts w:eastAsia="Times New Roman"/>
          <w:kern w:val="0"/>
          <w:lang w:eastAsia="en-IN"/>
        </w:rPr>
        <w:t>The study is limited to a few chosen companies in the FMCG Industry.</w:t>
      </w:r>
    </w:p>
    <w:p w:rsidR="00367B4C" w:rsidRDefault="00367B4C" w:rsidP="00367B4C">
      <w:pPr>
        <w:pStyle w:val="ListParagraph"/>
        <w:numPr>
          <w:ilvl w:val="0"/>
          <w:numId w:val="9"/>
        </w:numPr>
        <w:spacing w:line="360" w:lineRule="auto"/>
        <w:jc w:val="both"/>
        <w:rPr>
          <w:lang w:val="en-US"/>
        </w:rPr>
      </w:pPr>
      <w:r w:rsidRPr="004876EF">
        <w:rPr>
          <w:lang w:val="en-US"/>
        </w:rPr>
        <w:t>The study only focuses on the quarterly results of the share prices and not the turnover, volume or any other factors.</w:t>
      </w:r>
    </w:p>
    <w:p w:rsidR="00367B4C" w:rsidRPr="004876EF" w:rsidRDefault="00367B4C" w:rsidP="00367B4C">
      <w:pPr>
        <w:pStyle w:val="ListParagraph"/>
        <w:numPr>
          <w:ilvl w:val="0"/>
          <w:numId w:val="9"/>
        </w:numPr>
        <w:spacing w:line="360" w:lineRule="auto"/>
        <w:jc w:val="both"/>
        <w:rPr>
          <w:lang w:val="en-US"/>
        </w:rPr>
      </w:pPr>
      <w:r w:rsidRPr="004876EF">
        <w:rPr>
          <w:rFonts w:eastAsia="Times New Roman"/>
          <w:kern w:val="0"/>
          <w:lang w:eastAsia="en-IN"/>
        </w:rPr>
        <w:t>It is difficult to generalize research findings across the FMCG sector as a whole because of the wide variety of products and markets it includes, each with its own distinguished behaviour.</w:t>
      </w:r>
    </w:p>
    <w:p w:rsidR="00367B4C" w:rsidRPr="002D0FAB" w:rsidRDefault="00367B4C" w:rsidP="00367B4C">
      <w:pPr>
        <w:spacing w:line="360" w:lineRule="auto"/>
        <w:jc w:val="both"/>
        <w:rPr>
          <w:lang w:val="en-US"/>
        </w:rPr>
      </w:pPr>
    </w:p>
    <w:p w:rsidR="00367B4C" w:rsidRPr="00257EDF" w:rsidRDefault="00367B4C" w:rsidP="00367B4C">
      <w:pPr>
        <w:pStyle w:val="ListParagraph"/>
        <w:numPr>
          <w:ilvl w:val="1"/>
          <w:numId w:val="6"/>
        </w:numPr>
        <w:spacing w:line="360" w:lineRule="auto"/>
        <w:jc w:val="both"/>
        <w:rPr>
          <w:b/>
          <w:bCs/>
          <w:sz w:val="28"/>
          <w:szCs w:val="28"/>
          <w:lang w:val="en-US"/>
        </w:rPr>
      </w:pPr>
      <w:r w:rsidRPr="00257EDF">
        <w:rPr>
          <w:b/>
          <w:bCs/>
          <w:sz w:val="28"/>
          <w:szCs w:val="28"/>
          <w:lang w:val="en-US"/>
        </w:rPr>
        <w:t>HYPOTHESIS</w:t>
      </w:r>
    </w:p>
    <w:p w:rsidR="00367B4C" w:rsidRPr="00243058" w:rsidRDefault="00367B4C" w:rsidP="00367B4C">
      <w:pPr>
        <w:spacing w:line="360" w:lineRule="auto"/>
        <w:jc w:val="both"/>
        <w:rPr>
          <w:lang w:val="en-US"/>
        </w:rPr>
      </w:pPr>
      <w:r w:rsidRPr="00243058">
        <w:rPr>
          <w:lang w:val="en-US"/>
        </w:rPr>
        <w:t>1.Relationship between Share Price Movements and Quarterly Results:</w:t>
      </w:r>
    </w:p>
    <w:p w:rsidR="00367B4C" w:rsidRPr="00243058" w:rsidRDefault="00367B4C" w:rsidP="00367B4C">
      <w:pPr>
        <w:pStyle w:val="ListParagraph"/>
        <w:numPr>
          <w:ilvl w:val="0"/>
          <w:numId w:val="5"/>
        </w:numPr>
        <w:spacing w:line="360" w:lineRule="auto"/>
        <w:jc w:val="both"/>
        <w:rPr>
          <w:lang w:val="en-US"/>
        </w:rPr>
      </w:pPr>
      <w:bookmarkStart w:id="3" w:name="_Hlk160968548"/>
      <w:r w:rsidRPr="00243058">
        <w:rPr>
          <w:b/>
          <w:bCs/>
          <w:lang w:val="en-US"/>
        </w:rPr>
        <w:t>Null Hypothesis (H0)</w:t>
      </w:r>
      <w:r w:rsidRPr="00243058">
        <w:rPr>
          <w:lang w:val="en-US"/>
        </w:rPr>
        <w:t>: There is no significant correlation between the quarterly financial results (</w:t>
      </w:r>
      <w:r>
        <w:rPr>
          <w:lang w:val="en-US"/>
        </w:rPr>
        <w:t xml:space="preserve">net </w:t>
      </w:r>
      <w:r w:rsidRPr="00243058">
        <w:rPr>
          <w:lang w:val="en-US"/>
        </w:rPr>
        <w:t>profit) of</w:t>
      </w:r>
      <w:r>
        <w:rPr>
          <w:lang w:val="en-US"/>
        </w:rPr>
        <w:t xml:space="preserve"> selected </w:t>
      </w:r>
      <w:r w:rsidRPr="00243058">
        <w:rPr>
          <w:lang w:val="en-US"/>
        </w:rPr>
        <w:t>FMCG companies and their respective share price movements.</w:t>
      </w:r>
    </w:p>
    <w:p w:rsidR="00367B4C" w:rsidRPr="00257EDF" w:rsidRDefault="00367B4C" w:rsidP="00367B4C">
      <w:pPr>
        <w:pStyle w:val="ListParagraph"/>
        <w:numPr>
          <w:ilvl w:val="0"/>
          <w:numId w:val="5"/>
        </w:numPr>
        <w:spacing w:line="360" w:lineRule="auto"/>
        <w:jc w:val="both"/>
        <w:rPr>
          <w:lang w:val="en-US"/>
        </w:rPr>
      </w:pPr>
      <w:r w:rsidRPr="00243058">
        <w:rPr>
          <w:b/>
          <w:bCs/>
          <w:lang w:val="en-US"/>
        </w:rPr>
        <w:t>Alternative Hypothesis (H1)</w:t>
      </w:r>
      <w:r w:rsidRPr="00243058">
        <w:rPr>
          <w:lang w:val="en-US"/>
        </w:rPr>
        <w:t>: There is a significant correlation between the quarterly financial results of</w:t>
      </w:r>
      <w:r>
        <w:rPr>
          <w:lang w:val="en-US"/>
        </w:rPr>
        <w:t xml:space="preserve"> selected </w:t>
      </w:r>
      <w:r w:rsidRPr="00243058">
        <w:rPr>
          <w:lang w:val="en-US"/>
        </w:rPr>
        <w:t>FMCG companies and their share price movements.</w:t>
      </w:r>
    </w:p>
    <w:p w:rsidR="00367B4C" w:rsidRDefault="00367B4C" w:rsidP="00367B4C">
      <w:pPr>
        <w:rPr>
          <w:b/>
          <w:bCs/>
          <w:sz w:val="32"/>
          <w:szCs w:val="32"/>
        </w:rPr>
      </w:pPr>
      <w:bookmarkStart w:id="4" w:name="_Hlk162165165"/>
      <w:bookmarkStart w:id="5" w:name="_Hlk162274292"/>
      <w:bookmarkEnd w:id="3"/>
    </w:p>
    <w:p w:rsidR="00CC1499" w:rsidRDefault="00CC1499"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CC1499" w:rsidRDefault="00CC1499" w:rsidP="00CC1499">
      <w:pPr>
        <w:jc w:val="center"/>
        <w:rPr>
          <w:b/>
          <w:bCs/>
          <w:sz w:val="32"/>
          <w:szCs w:val="32"/>
        </w:rPr>
      </w:pPr>
      <w:r>
        <w:rPr>
          <w:b/>
          <w:bCs/>
          <w:sz w:val="32"/>
          <w:szCs w:val="32"/>
        </w:rPr>
        <w:t xml:space="preserve">CHAPTER 2 </w:t>
      </w:r>
    </w:p>
    <w:p w:rsidR="00CC1499" w:rsidRDefault="00CC1499" w:rsidP="00CC1499">
      <w:pPr>
        <w:jc w:val="center"/>
        <w:rPr>
          <w:b/>
          <w:bCs/>
          <w:sz w:val="32"/>
          <w:szCs w:val="32"/>
        </w:rPr>
      </w:pPr>
      <w:r>
        <w:rPr>
          <w:b/>
          <w:bCs/>
          <w:sz w:val="32"/>
          <w:szCs w:val="32"/>
        </w:rPr>
        <w:t>REVIEW OF LITERATURE</w:t>
      </w: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bookmarkEnd w:id="4"/>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bookmarkStart w:id="6" w:name="_Hlk162274375"/>
      <w:bookmarkStart w:id="7" w:name="_Hlk162165243"/>
      <w:bookmarkEnd w:id="5"/>
    </w:p>
    <w:p w:rsidR="00367B4C" w:rsidRPr="004728BE" w:rsidRDefault="00367B4C" w:rsidP="00367B4C">
      <w:pPr>
        <w:tabs>
          <w:tab w:val="center" w:pos="4513"/>
          <w:tab w:val="left" w:pos="6264"/>
        </w:tabs>
        <w:spacing w:line="360" w:lineRule="auto"/>
        <w:rPr>
          <w:b/>
          <w:bCs/>
          <w:sz w:val="28"/>
          <w:szCs w:val="28"/>
          <w:lang w:val="en-US"/>
        </w:rPr>
      </w:pPr>
      <w:r>
        <w:rPr>
          <w:b/>
          <w:bCs/>
          <w:sz w:val="28"/>
          <w:szCs w:val="28"/>
          <w:lang w:val="en-US"/>
        </w:rPr>
        <w:lastRenderedPageBreak/>
        <w:t xml:space="preserve">2.1 </w:t>
      </w:r>
      <w:r w:rsidRPr="00243058">
        <w:rPr>
          <w:b/>
          <w:bCs/>
          <w:sz w:val="28"/>
          <w:szCs w:val="28"/>
          <w:lang w:val="en-US"/>
        </w:rPr>
        <w:t>REVIEW OF LITERATUR</w:t>
      </w:r>
      <w:r>
        <w:rPr>
          <w:b/>
          <w:bCs/>
          <w:sz w:val="28"/>
          <w:szCs w:val="28"/>
          <w:lang w:val="en-US"/>
        </w:rPr>
        <w:t>E</w:t>
      </w:r>
    </w:p>
    <w:p w:rsidR="00367B4C" w:rsidRPr="00BD202D" w:rsidRDefault="00367B4C" w:rsidP="00367B4C">
      <w:pPr>
        <w:pStyle w:val="ListParagraph"/>
        <w:numPr>
          <w:ilvl w:val="0"/>
          <w:numId w:val="10"/>
        </w:numPr>
        <w:tabs>
          <w:tab w:val="center" w:pos="4513"/>
          <w:tab w:val="left" w:pos="6264"/>
        </w:tabs>
        <w:spacing w:line="360" w:lineRule="auto"/>
        <w:jc w:val="both"/>
        <w:rPr>
          <w:lang w:val="en-US"/>
        </w:rPr>
      </w:pPr>
      <w:r w:rsidRPr="00953FBB">
        <w:rPr>
          <w:b/>
          <w:bCs/>
          <w:color w:val="222222"/>
          <w:shd w:val="clear" w:color="auto" w:fill="FFFFFF"/>
        </w:rPr>
        <w:t>Dhingra R. Dev, K. &amp; Gupta M. (2018)</w:t>
      </w:r>
      <w:r>
        <w:rPr>
          <w:color w:val="222222"/>
          <w:shd w:val="clear" w:color="auto" w:fill="FFFFFF"/>
        </w:rPr>
        <w:t>“</w:t>
      </w:r>
      <w:r w:rsidRPr="00953FBB">
        <w:rPr>
          <w:color w:val="222222"/>
          <w:shd w:val="clear" w:color="auto" w:fill="FFFFFF"/>
        </w:rPr>
        <w:t>Performance Analysis of FMCG Sector in India</w:t>
      </w:r>
      <w:r>
        <w:rPr>
          <w:color w:val="222222"/>
          <w:shd w:val="clear" w:color="auto" w:fill="FFFFFF"/>
        </w:rPr>
        <w:t>”</w:t>
      </w:r>
      <w:r w:rsidRPr="00953FBB">
        <w:rPr>
          <w:color w:val="222222"/>
          <w:shd w:val="clear" w:color="auto" w:fill="FFFFFF"/>
        </w:rPr>
        <w:t>. For the performance analysis of Fast</w:t>
      </w:r>
      <w:r>
        <w:rPr>
          <w:color w:val="222222"/>
          <w:shd w:val="clear" w:color="auto" w:fill="FFFFFF"/>
        </w:rPr>
        <w:t>-</w:t>
      </w:r>
      <w:r w:rsidRPr="00953FBB">
        <w:rPr>
          <w:color w:val="222222"/>
          <w:shd w:val="clear" w:color="auto" w:fill="FFFFFF"/>
        </w:rPr>
        <w:t>Moving Consumer Goods (FMCG) industry, discriminatory power of financial ratios are examined by using Wilks’ lambda and Multiple discriminant function analysis. For this purpose sample of eighteen FMCG companies listed with Bombay Stock Exchange is taken in to account. Market capitalization is taken as basis for selecting these companies. Data is collected for twelve years ranges from 1 April 2006 to 31 March 2017</w:t>
      </w:r>
      <w:r>
        <w:rPr>
          <w:rFonts w:ascii="Arial" w:hAnsi="Arial" w:cs="Arial"/>
          <w:color w:val="222222"/>
          <w:sz w:val="23"/>
          <w:szCs w:val="23"/>
          <w:shd w:val="clear" w:color="auto" w:fill="FFFFFF"/>
        </w:rPr>
        <w:t>. </w:t>
      </w:r>
    </w:p>
    <w:p w:rsidR="00367B4C" w:rsidRPr="00BD202D" w:rsidRDefault="00367B4C" w:rsidP="00367B4C">
      <w:pPr>
        <w:pStyle w:val="ListParagraph"/>
        <w:tabs>
          <w:tab w:val="center" w:pos="4513"/>
          <w:tab w:val="left" w:pos="6264"/>
        </w:tabs>
        <w:spacing w:line="360" w:lineRule="auto"/>
        <w:ind w:left="502"/>
        <w:jc w:val="both"/>
        <w:rPr>
          <w:lang w:val="en-US"/>
        </w:rPr>
      </w:pPr>
    </w:p>
    <w:p w:rsidR="00367B4C" w:rsidRPr="00D20E71" w:rsidRDefault="00367B4C" w:rsidP="00367B4C">
      <w:pPr>
        <w:pStyle w:val="ListParagraph"/>
        <w:numPr>
          <w:ilvl w:val="0"/>
          <w:numId w:val="10"/>
        </w:numPr>
        <w:tabs>
          <w:tab w:val="center" w:pos="4513"/>
          <w:tab w:val="left" w:pos="6264"/>
        </w:tabs>
        <w:spacing w:line="360" w:lineRule="auto"/>
        <w:jc w:val="both"/>
        <w:rPr>
          <w:lang w:val="en-US"/>
        </w:rPr>
      </w:pPr>
      <w:r w:rsidRPr="00BD202D">
        <w:rPr>
          <w:b/>
          <w:bCs/>
          <w:color w:val="222222"/>
          <w:shd w:val="clear" w:color="auto" w:fill="FFFFFF"/>
        </w:rPr>
        <w:t>Gangil, R. &amp; Nathani N. (2018)</w:t>
      </w:r>
      <w:r w:rsidRPr="00D413E7">
        <w:rPr>
          <w:color w:val="222222"/>
          <w:shd w:val="clear" w:color="auto" w:fill="FFFFFF"/>
        </w:rPr>
        <w:t>“</w:t>
      </w:r>
      <w:r w:rsidRPr="00BD202D">
        <w:rPr>
          <w:color w:val="222222"/>
          <w:shd w:val="clear" w:color="auto" w:fill="FFFFFF"/>
        </w:rPr>
        <w:t xml:space="preserve"> Determinants of dividend policy: A study of FMCG sector in India</w:t>
      </w:r>
      <w:r>
        <w:rPr>
          <w:color w:val="222222"/>
          <w:shd w:val="clear" w:color="auto" w:fill="FFFFFF"/>
        </w:rPr>
        <w:t>”.</w:t>
      </w:r>
      <w:r w:rsidRPr="00D20E71">
        <w:rPr>
          <w:color w:val="222222"/>
          <w:shd w:val="clear" w:color="auto" w:fill="FFFFFF"/>
        </w:rPr>
        <w:t>Dividend policy of Fast</w:t>
      </w:r>
      <w:r>
        <w:rPr>
          <w:color w:val="222222"/>
          <w:shd w:val="clear" w:color="auto" w:fill="FFFFFF"/>
        </w:rPr>
        <w:t>-</w:t>
      </w:r>
      <w:r w:rsidRPr="00D20E71">
        <w:rPr>
          <w:color w:val="222222"/>
          <w:shd w:val="clear" w:color="auto" w:fill="FFFFFF"/>
        </w:rPr>
        <w:t>Moving Consumer Goods (FMCG) companies is analy</w:t>
      </w:r>
      <w:r>
        <w:rPr>
          <w:color w:val="222222"/>
          <w:shd w:val="clear" w:color="auto" w:fill="FFFFFF"/>
        </w:rPr>
        <w:t>s</w:t>
      </w:r>
      <w:r w:rsidRPr="00D20E71">
        <w:rPr>
          <w:color w:val="222222"/>
          <w:shd w:val="clear" w:color="auto" w:fill="FFFFFF"/>
        </w:rPr>
        <w:t xml:space="preserve">ed in this paper. The FMCG companies listed on NSE 100 during the period of 10 years from 2007 to 2016. These data are subjected to factor analysis to identify the important factors, then multiple regression is used to determine the most significant factor influencing dividend decisions by FMCG firms. Result of factor analysis concluded 5 factors </w:t>
      </w:r>
      <w:r>
        <w:rPr>
          <w:color w:val="222222"/>
          <w:shd w:val="clear" w:color="auto" w:fill="FFFFFF"/>
        </w:rPr>
        <w:t>are</w:t>
      </w:r>
      <w:r w:rsidRPr="00D20E71">
        <w:rPr>
          <w:color w:val="222222"/>
          <w:shd w:val="clear" w:color="auto" w:fill="FFFFFF"/>
        </w:rPr>
        <w:t xml:space="preserve"> profitability indicators, firm size, liquidity, growth opportunities and market value. Regression on these concluded that growth opportunities and profitability are the determinants of dividend policy</w:t>
      </w:r>
    </w:p>
    <w:p w:rsidR="00367B4C" w:rsidRPr="00D20E71" w:rsidRDefault="00367B4C" w:rsidP="00367B4C">
      <w:pPr>
        <w:pStyle w:val="ListParagraph"/>
        <w:spacing w:line="360" w:lineRule="auto"/>
        <w:jc w:val="both"/>
        <w:rPr>
          <w:b/>
          <w:bCs/>
          <w:lang w:val="en-US"/>
        </w:rPr>
      </w:pPr>
    </w:p>
    <w:p w:rsidR="00367B4C" w:rsidRPr="007E676E" w:rsidRDefault="00367B4C" w:rsidP="00367B4C">
      <w:pPr>
        <w:pStyle w:val="ListParagraph"/>
        <w:numPr>
          <w:ilvl w:val="0"/>
          <w:numId w:val="10"/>
        </w:numPr>
        <w:tabs>
          <w:tab w:val="center" w:pos="4513"/>
          <w:tab w:val="left" w:pos="6264"/>
        </w:tabs>
        <w:spacing w:line="360" w:lineRule="auto"/>
        <w:jc w:val="both"/>
        <w:rPr>
          <w:lang w:val="en-US"/>
        </w:rPr>
      </w:pPr>
      <w:r w:rsidRPr="007E676E">
        <w:rPr>
          <w:b/>
          <w:bCs/>
        </w:rPr>
        <w:t>Brigham and Houston’s (2009).</w:t>
      </w:r>
      <w:r>
        <w:t>financial analysis involves comparing the firm’s performance to that of other firms in the same industry and evaluating trends in the firm’s financial position over time. One rich source of information for financial statement analysis is the audited financial statements. The financial statements are usually part of the annual report that listed companies submit to regulatory agencies such as Securities and Exchange Commission and Stock Exchange entities.</w:t>
      </w:r>
    </w:p>
    <w:p w:rsidR="00367B4C" w:rsidRPr="007E676E" w:rsidRDefault="00367B4C" w:rsidP="00367B4C">
      <w:pPr>
        <w:pStyle w:val="ListParagraph"/>
        <w:spacing w:line="360" w:lineRule="auto"/>
        <w:jc w:val="both"/>
        <w:rPr>
          <w:lang w:val="en-US"/>
        </w:rPr>
      </w:pPr>
    </w:p>
    <w:p w:rsidR="00367B4C" w:rsidRPr="001B0C9A" w:rsidRDefault="00367B4C" w:rsidP="00367B4C">
      <w:pPr>
        <w:pStyle w:val="ListParagraph"/>
        <w:numPr>
          <w:ilvl w:val="0"/>
          <w:numId w:val="10"/>
        </w:numPr>
        <w:tabs>
          <w:tab w:val="center" w:pos="4513"/>
          <w:tab w:val="left" w:pos="6264"/>
        </w:tabs>
        <w:spacing w:line="360" w:lineRule="auto"/>
        <w:jc w:val="both"/>
        <w:rPr>
          <w:lang w:val="en-US"/>
        </w:rPr>
      </w:pPr>
      <w:r w:rsidRPr="007E676E">
        <w:rPr>
          <w:b/>
          <w:bCs/>
        </w:rPr>
        <w:t xml:space="preserve">D.H. Kantilal </w:t>
      </w:r>
      <w:r>
        <w:rPr>
          <w:b/>
          <w:bCs/>
        </w:rPr>
        <w:t>(2012)</w:t>
      </w:r>
      <w:r>
        <w:t xml:space="preserve"> studied on analysis of gross profit to sales ratio of top ten pharmaceutical companies and shows that there is significance difference between in the gross profit to sales ratio among different companies under study as well as different years of each company lastly the researcher concluded that Gross Profit </w:t>
      </w:r>
      <w:r>
        <w:lastRenderedPageBreak/>
        <w:t xml:space="preserve">to sales ratio among different companies and among different years under study is not same.   </w:t>
      </w:r>
    </w:p>
    <w:p w:rsidR="00367B4C" w:rsidRPr="001B0C9A" w:rsidRDefault="00367B4C" w:rsidP="00367B4C">
      <w:pPr>
        <w:pStyle w:val="ListParagraph"/>
        <w:rPr>
          <w:b/>
          <w:bCs/>
          <w:lang w:val="en-US"/>
        </w:rPr>
      </w:pPr>
    </w:p>
    <w:p w:rsidR="00367B4C" w:rsidRPr="001B0C9A" w:rsidRDefault="00367B4C" w:rsidP="00367B4C">
      <w:pPr>
        <w:pStyle w:val="ListParagraph"/>
        <w:numPr>
          <w:ilvl w:val="0"/>
          <w:numId w:val="10"/>
        </w:numPr>
        <w:tabs>
          <w:tab w:val="center" w:pos="4513"/>
          <w:tab w:val="left" w:pos="6264"/>
        </w:tabs>
        <w:spacing w:line="360" w:lineRule="auto"/>
        <w:jc w:val="both"/>
        <w:rPr>
          <w:lang w:val="en-US"/>
        </w:rPr>
      </w:pPr>
      <w:r w:rsidRPr="001B0C9A">
        <w:rPr>
          <w:b/>
          <w:bCs/>
          <w:lang w:val="en-US"/>
        </w:rPr>
        <w:t xml:space="preserve">Ranjit Kumar Paswan(2013) </w:t>
      </w:r>
      <w:r w:rsidRPr="001B0C9A">
        <w:rPr>
          <w:lang w:val="en-US"/>
        </w:rPr>
        <w:t>“Analysis of solvency of selected FMCG companies in India”. during the study period he found that ITC, Emami,Dabur and Colgate has been able to pay the debt. The debt to asset ratio of nestle and colgate shows that there is an efficiency of debt management and the DTR of Emami and DABUR shows that their debts are financed through assets.</w:t>
      </w:r>
    </w:p>
    <w:p w:rsidR="00367B4C" w:rsidRPr="00243058" w:rsidRDefault="00367B4C" w:rsidP="00367B4C">
      <w:pPr>
        <w:pStyle w:val="ListParagraph"/>
        <w:spacing w:line="360" w:lineRule="auto"/>
        <w:jc w:val="both"/>
        <w:rPr>
          <w:b/>
          <w:bCs/>
          <w:lang w:val="en-US"/>
        </w:rPr>
      </w:pPr>
    </w:p>
    <w:p w:rsidR="00367B4C" w:rsidRPr="00243058" w:rsidRDefault="00367B4C" w:rsidP="00367B4C">
      <w:pPr>
        <w:pStyle w:val="ListParagraph"/>
        <w:numPr>
          <w:ilvl w:val="0"/>
          <w:numId w:val="10"/>
        </w:numPr>
        <w:tabs>
          <w:tab w:val="center" w:pos="4513"/>
          <w:tab w:val="left" w:pos="6264"/>
        </w:tabs>
        <w:spacing w:line="360" w:lineRule="auto"/>
        <w:jc w:val="both"/>
        <w:rPr>
          <w:b/>
          <w:bCs/>
          <w:lang w:val="en-US"/>
        </w:rPr>
      </w:pPr>
      <w:r w:rsidRPr="00243058">
        <w:rPr>
          <w:b/>
          <w:bCs/>
          <w:lang w:val="en-US"/>
        </w:rPr>
        <w:t>Aratigarg(2015)</w:t>
      </w:r>
      <w:r w:rsidRPr="00243058">
        <w:rPr>
          <w:lang w:val="en-US"/>
        </w:rPr>
        <w:t xml:space="preserve"> “Profitability Analysis of FMCG Sector”Using the ANOVA method and ratio analysis, their objective was to analyse the comparative profitability of the companies and to show that the profitability was satisfactory for Dabur, Colgate, Palmolive and Marico and not satisfactory for Britannia and Godrej. Therefore, the companies have to put more effort to increase the productivity and for maximum utilization of available resources.</w:t>
      </w:r>
    </w:p>
    <w:p w:rsidR="00367B4C" w:rsidRPr="00243058" w:rsidRDefault="00367B4C" w:rsidP="00367B4C">
      <w:pPr>
        <w:pStyle w:val="ListParagraph"/>
        <w:spacing w:line="360" w:lineRule="auto"/>
        <w:jc w:val="both"/>
        <w:rPr>
          <w:lang w:val="en-US"/>
        </w:rPr>
      </w:pPr>
    </w:p>
    <w:p w:rsidR="00367B4C" w:rsidRPr="00243058" w:rsidRDefault="00367B4C" w:rsidP="00367B4C">
      <w:pPr>
        <w:pStyle w:val="ListParagraph"/>
        <w:numPr>
          <w:ilvl w:val="0"/>
          <w:numId w:val="10"/>
        </w:numPr>
        <w:tabs>
          <w:tab w:val="center" w:pos="4513"/>
          <w:tab w:val="left" w:pos="6264"/>
        </w:tabs>
        <w:spacing w:line="360" w:lineRule="auto"/>
        <w:jc w:val="both"/>
        <w:rPr>
          <w:b/>
          <w:bCs/>
          <w:lang w:val="en-US"/>
        </w:rPr>
      </w:pPr>
      <w:r w:rsidRPr="00243058">
        <w:rPr>
          <w:b/>
          <w:bCs/>
          <w:lang w:val="en-US"/>
        </w:rPr>
        <w:t xml:space="preserve">Sahu(2002) </w:t>
      </w:r>
      <w:r w:rsidRPr="00243058">
        <w:rPr>
          <w:lang w:val="en-US"/>
        </w:rPr>
        <w:t>in this article it shows that for successful functioning of a firm they should focus on maintaining short term liquidity in a scientific manner by the management. The study revealed that the short financial positons of the companies in the FMCG sectors were not satisfactory.</w:t>
      </w:r>
    </w:p>
    <w:p w:rsidR="00367B4C" w:rsidRPr="00243058" w:rsidRDefault="00367B4C" w:rsidP="00367B4C">
      <w:pPr>
        <w:pStyle w:val="ListParagraph"/>
        <w:spacing w:line="360" w:lineRule="auto"/>
        <w:jc w:val="both"/>
        <w:rPr>
          <w:lang w:val="en-US"/>
        </w:rPr>
      </w:pPr>
    </w:p>
    <w:p w:rsidR="00367B4C" w:rsidRDefault="00367B4C" w:rsidP="00367B4C">
      <w:pPr>
        <w:pStyle w:val="ListParagraph"/>
        <w:numPr>
          <w:ilvl w:val="0"/>
          <w:numId w:val="10"/>
        </w:numPr>
        <w:tabs>
          <w:tab w:val="center" w:pos="4513"/>
          <w:tab w:val="left" w:pos="6264"/>
        </w:tabs>
        <w:spacing w:line="360" w:lineRule="auto"/>
        <w:jc w:val="both"/>
        <w:rPr>
          <w:lang w:val="en-US"/>
        </w:rPr>
      </w:pPr>
      <w:r w:rsidRPr="00243058">
        <w:rPr>
          <w:b/>
          <w:bCs/>
          <w:lang w:val="en-US"/>
        </w:rPr>
        <w:t xml:space="preserve">Dr. Pramod H. Patil(2016) </w:t>
      </w:r>
      <w:r w:rsidRPr="00243058">
        <w:rPr>
          <w:lang w:val="en-US"/>
        </w:rPr>
        <w:t>The FMCG sector is recession-proof and has created huge employment opportunities in India, hence becoming one of the key pillars of the Indian economy. He says that competition coming from the unorganized sector can be overcome by increasing brand awareness and reducing costs through sharing resources such as distribution networks and the future of the FMCG sector is bright as favorable movements in demand and supply side of this sector.</w:t>
      </w:r>
    </w:p>
    <w:p w:rsidR="00367B4C" w:rsidRPr="009A676C" w:rsidRDefault="00367B4C" w:rsidP="00367B4C">
      <w:pPr>
        <w:pStyle w:val="ListParagraph"/>
        <w:spacing w:line="360" w:lineRule="auto"/>
        <w:jc w:val="both"/>
        <w:rPr>
          <w:rFonts w:eastAsia="Times New Roman"/>
          <w:b/>
          <w:bCs/>
          <w:color w:val="1F1F1F"/>
          <w:kern w:val="0"/>
          <w:lang w:eastAsia="en-IN"/>
        </w:rPr>
      </w:pPr>
    </w:p>
    <w:p w:rsidR="00367B4C" w:rsidRPr="00A34B91" w:rsidRDefault="00367B4C" w:rsidP="00367B4C">
      <w:pPr>
        <w:pStyle w:val="ListParagraph"/>
        <w:numPr>
          <w:ilvl w:val="0"/>
          <w:numId w:val="10"/>
        </w:numPr>
        <w:tabs>
          <w:tab w:val="center" w:pos="4513"/>
          <w:tab w:val="left" w:pos="6264"/>
        </w:tabs>
        <w:spacing w:line="360" w:lineRule="auto"/>
        <w:jc w:val="both"/>
        <w:rPr>
          <w:rFonts w:eastAsia="Times New Roman"/>
          <w:b/>
          <w:bCs/>
          <w:color w:val="1F1F1F"/>
          <w:kern w:val="0"/>
          <w:lang w:eastAsia="en-IN"/>
        </w:rPr>
      </w:pPr>
      <w:r w:rsidRPr="002260D7">
        <w:rPr>
          <w:b/>
          <w:bCs/>
        </w:rPr>
        <w:t>Gurmeet Singh(2014)</w:t>
      </w:r>
      <w:r>
        <w:t xml:space="preserve"> “Interrelation Between Capital Structure And Profitability Of FMCG Companies Of India”The study reveals that the profitability of the firm and its financial leverage has an insignificant impact on the capital structure of the studied firms during the examined period. The study is unable to establish any significant relation between profitability and financial leverage effect on the capital structure of a firm.</w:t>
      </w:r>
    </w:p>
    <w:p w:rsidR="00367B4C" w:rsidRPr="00A34B91" w:rsidRDefault="00367B4C" w:rsidP="00367B4C">
      <w:pPr>
        <w:pStyle w:val="ListParagraph"/>
        <w:rPr>
          <w:b/>
          <w:bCs/>
          <w:color w:val="222222"/>
          <w:shd w:val="clear" w:color="auto" w:fill="FFFFFF"/>
        </w:rPr>
      </w:pPr>
    </w:p>
    <w:p w:rsidR="00367B4C" w:rsidRPr="00A34B91" w:rsidRDefault="00367B4C" w:rsidP="00367B4C">
      <w:pPr>
        <w:pStyle w:val="ListParagraph"/>
        <w:numPr>
          <w:ilvl w:val="0"/>
          <w:numId w:val="10"/>
        </w:numPr>
        <w:tabs>
          <w:tab w:val="center" w:pos="4513"/>
          <w:tab w:val="left" w:pos="6264"/>
        </w:tabs>
        <w:spacing w:line="360" w:lineRule="auto"/>
        <w:jc w:val="both"/>
        <w:rPr>
          <w:rFonts w:eastAsia="Times New Roman"/>
          <w:b/>
          <w:bCs/>
          <w:color w:val="1F1F1F"/>
          <w:kern w:val="0"/>
          <w:lang w:eastAsia="en-IN"/>
        </w:rPr>
      </w:pPr>
      <w:r w:rsidRPr="00A34B91">
        <w:rPr>
          <w:b/>
          <w:bCs/>
          <w:color w:val="222222"/>
          <w:shd w:val="clear" w:color="auto" w:fill="FFFFFF"/>
        </w:rPr>
        <w:t>Dawar, V. (2012).</w:t>
      </w:r>
      <w:r w:rsidRPr="00A34B91">
        <w:rPr>
          <w:color w:val="222222"/>
          <w:shd w:val="clear" w:color="auto" w:fill="FFFFFF"/>
        </w:rPr>
        <w:t xml:space="preserve"> Role of fundamental variables in explaining stock prices: Indian FMCG sector </w:t>
      </w:r>
      <w:r w:rsidRPr="00A34B91">
        <w:rPr>
          <w:rFonts w:eastAsia="Times New Roman"/>
          <w:kern w:val="0"/>
          <w:lang w:eastAsia="en-IN"/>
        </w:rPr>
        <w:t xml:space="preserve">Using a price level-based methodology, the study aims to examine the value relevance of key corporate financial variables in the context of Indian FMCG companies. The study empirically establishes the degree to which stock prices in Indian FMCG companies are supported by fundamentals using a cross section of BSE FMCG firms throughout the period of 2001-2010. The study's findings suggest that fundamental factors are significant in determining stock price for FMCG companies in India. </w:t>
      </w:r>
    </w:p>
    <w:p w:rsidR="00367B4C" w:rsidRPr="004C0BFD" w:rsidRDefault="00367B4C" w:rsidP="00367B4C">
      <w:pPr>
        <w:pStyle w:val="ListParagraph"/>
        <w:spacing w:line="360" w:lineRule="auto"/>
        <w:jc w:val="both"/>
        <w:rPr>
          <w:rFonts w:eastAsia="Times New Roman"/>
          <w:color w:val="1F1F1F"/>
          <w:kern w:val="0"/>
          <w:lang w:eastAsia="en-IN"/>
        </w:rPr>
      </w:pPr>
    </w:p>
    <w:p w:rsidR="00367B4C" w:rsidRPr="00F200DB" w:rsidRDefault="00367B4C" w:rsidP="00367B4C">
      <w:pPr>
        <w:pStyle w:val="ListParagraph"/>
        <w:numPr>
          <w:ilvl w:val="0"/>
          <w:numId w:val="10"/>
        </w:numPr>
        <w:tabs>
          <w:tab w:val="center" w:pos="4513"/>
          <w:tab w:val="left" w:pos="6264"/>
        </w:tabs>
        <w:spacing w:line="360" w:lineRule="auto"/>
        <w:jc w:val="both"/>
        <w:rPr>
          <w:lang w:val="en-US"/>
        </w:rPr>
      </w:pPr>
      <w:r w:rsidRPr="00243058">
        <w:rPr>
          <w:rFonts w:eastAsia="Times New Roman"/>
          <w:b/>
          <w:bCs/>
          <w:color w:val="1F1F1F"/>
          <w:kern w:val="0"/>
          <w:lang w:eastAsia="en-IN"/>
        </w:rPr>
        <w:t>Agyemang D. &amp; Asiamah S. (2014):</w:t>
      </w:r>
      <w:r w:rsidRPr="00243058">
        <w:rPr>
          <w:rFonts w:eastAsia="Times New Roman"/>
          <w:color w:val="1F1F1F"/>
          <w:kern w:val="0"/>
          <w:lang w:eastAsia="en-IN"/>
        </w:rPr>
        <w:t> Investigated Ghanaian FMCG companies and reported a weak positive correlation between quarterly earnings and share prices. However, other factors like market sentiment and investor expectations played a significant role.</w:t>
      </w:r>
      <w:r w:rsidRPr="00F200DB">
        <w:rPr>
          <w:color w:val="000000"/>
          <w:shd w:val="clear" w:color="auto" w:fill="FFFFFF"/>
        </w:rPr>
        <w:t>Earnings can affect stock prices, but they're not the only factor. Other market forces also influence investor decisions and stock price fluctuations in Ghana's fast-moving consumer goods industry.</w:t>
      </w:r>
    </w:p>
    <w:p w:rsidR="00367B4C" w:rsidRPr="00F200DB" w:rsidRDefault="00367B4C" w:rsidP="00367B4C">
      <w:pPr>
        <w:pStyle w:val="ListParagraph"/>
        <w:spacing w:line="360" w:lineRule="auto"/>
        <w:jc w:val="both"/>
        <w:rPr>
          <w:rFonts w:eastAsia="Times New Roman"/>
          <w:color w:val="1F1F1F"/>
          <w:kern w:val="0"/>
          <w:lang w:eastAsia="en-IN"/>
        </w:rPr>
      </w:pPr>
    </w:p>
    <w:p w:rsidR="00367B4C" w:rsidRPr="00243058" w:rsidRDefault="00367B4C" w:rsidP="00367B4C">
      <w:pPr>
        <w:pStyle w:val="ListParagraph"/>
        <w:numPr>
          <w:ilvl w:val="0"/>
          <w:numId w:val="10"/>
        </w:numPr>
        <w:tabs>
          <w:tab w:val="center" w:pos="4513"/>
          <w:tab w:val="left" w:pos="6264"/>
        </w:tabs>
        <w:spacing w:line="360" w:lineRule="auto"/>
        <w:jc w:val="both"/>
        <w:rPr>
          <w:lang w:val="en-US"/>
        </w:rPr>
      </w:pPr>
      <w:r w:rsidRPr="00243058">
        <w:rPr>
          <w:rFonts w:eastAsia="Times New Roman"/>
          <w:b/>
          <w:bCs/>
          <w:color w:val="1F1F1F"/>
          <w:kern w:val="0"/>
          <w:lang w:eastAsia="en-IN"/>
        </w:rPr>
        <w:t>Kumar T. &amp; Sharma S. (2018): </w:t>
      </w:r>
      <w:r w:rsidRPr="00243058">
        <w:rPr>
          <w:rFonts w:eastAsia="Times New Roman"/>
          <w:color w:val="1F1F1F"/>
          <w:kern w:val="0"/>
          <w:lang w:eastAsia="en-IN"/>
        </w:rPr>
        <w:t>Analyzed Indian FMCG firms and found that the relationship between quarterly results and share prices varied depending on the company's size and market share. Larger, well-established companies exhibited a stronger positive correlation.</w:t>
      </w:r>
    </w:p>
    <w:p w:rsidR="00367B4C" w:rsidRPr="00243058" w:rsidRDefault="00367B4C" w:rsidP="00367B4C">
      <w:pPr>
        <w:pStyle w:val="ListParagraph"/>
        <w:spacing w:line="360" w:lineRule="auto"/>
        <w:jc w:val="both"/>
        <w:rPr>
          <w:rFonts w:ascii="Arial" w:eastAsia="Times New Roman" w:hAnsi="Arial" w:cs="Arial"/>
          <w:color w:val="1F1F1F"/>
          <w:kern w:val="0"/>
          <w:lang w:eastAsia="en-IN"/>
        </w:rPr>
      </w:pPr>
    </w:p>
    <w:p w:rsidR="00367B4C" w:rsidRPr="00243058" w:rsidRDefault="00367B4C" w:rsidP="00367B4C">
      <w:pPr>
        <w:pStyle w:val="ListParagraph"/>
        <w:numPr>
          <w:ilvl w:val="0"/>
          <w:numId w:val="10"/>
        </w:numPr>
        <w:tabs>
          <w:tab w:val="center" w:pos="4513"/>
          <w:tab w:val="left" w:pos="6264"/>
        </w:tabs>
        <w:spacing w:line="360" w:lineRule="auto"/>
        <w:jc w:val="both"/>
        <w:rPr>
          <w:lang w:val="en-US"/>
        </w:rPr>
      </w:pPr>
      <w:r w:rsidRPr="00243058">
        <w:rPr>
          <w:rFonts w:eastAsia="Times New Roman"/>
          <w:b/>
          <w:bCs/>
          <w:color w:val="1F1F1F"/>
          <w:kern w:val="0"/>
          <w:lang w:eastAsia="en-IN"/>
        </w:rPr>
        <w:t>Alam and Shams (2019</w:t>
      </w:r>
      <w:r w:rsidRPr="00243058">
        <w:rPr>
          <w:rFonts w:eastAsia="Times New Roman"/>
          <w:color w:val="1F1F1F"/>
          <w:kern w:val="0"/>
          <w:lang w:eastAsia="en-IN"/>
        </w:rPr>
        <w:t>) investigated the relationship between quarterly earnings announcements and stock returns for Bangladeshi FMCG companies. They found a weak and statistically insignificant correlation, suggesting that investors might not be efficiently processing information from quarterly results in this market.</w:t>
      </w:r>
    </w:p>
    <w:p w:rsidR="00367B4C" w:rsidRPr="00243058" w:rsidRDefault="00367B4C" w:rsidP="00367B4C">
      <w:pPr>
        <w:pStyle w:val="ListParagraph"/>
        <w:spacing w:line="360" w:lineRule="auto"/>
        <w:jc w:val="both"/>
        <w:rPr>
          <w:rFonts w:eastAsia="Times New Roman"/>
          <w:color w:val="1F1F1F"/>
          <w:kern w:val="0"/>
          <w:lang w:eastAsia="en-IN"/>
        </w:rPr>
      </w:pPr>
    </w:p>
    <w:p w:rsidR="00367B4C" w:rsidRPr="00A87B87" w:rsidRDefault="00367B4C" w:rsidP="00367B4C">
      <w:pPr>
        <w:pStyle w:val="ListParagraph"/>
        <w:numPr>
          <w:ilvl w:val="0"/>
          <w:numId w:val="10"/>
        </w:numPr>
        <w:tabs>
          <w:tab w:val="center" w:pos="4513"/>
          <w:tab w:val="left" w:pos="6264"/>
        </w:tabs>
        <w:spacing w:line="360" w:lineRule="auto"/>
        <w:jc w:val="both"/>
        <w:rPr>
          <w:lang w:val="en-US"/>
        </w:rPr>
      </w:pPr>
      <w:r w:rsidRPr="00243058">
        <w:rPr>
          <w:rFonts w:eastAsia="Times New Roman"/>
          <w:b/>
          <w:bCs/>
          <w:color w:val="1F1F1F"/>
          <w:kern w:val="0"/>
          <w:lang w:eastAsia="en-IN"/>
        </w:rPr>
        <w:t>Khanna and Jain (2017)</w:t>
      </w:r>
      <w:r w:rsidRPr="00243058">
        <w:rPr>
          <w:rFonts w:eastAsia="Times New Roman"/>
          <w:color w:val="1F1F1F"/>
          <w:kern w:val="0"/>
          <w:lang w:eastAsia="en-IN"/>
        </w:rPr>
        <w:t> investigated the impact of market sentiment on the relationship between quarterly earnings announcements and stock prices for Indian FMCG companies. They found that market sentiment moderates this relationship, with positive surprises having a stronger impact on stock returns during periods of high market sentiment.</w:t>
      </w:r>
    </w:p>
    <w:p w:rsidR="00367B4C" w:rsidRPr="00A87B87" w:rsidRDefault="00367B4C" w:rsidP="00367B4C">
      <w:pPr>
        <w:pStyle w:val="ListParagraph"/>
        <w:spacing w:line="360" w:lineRule="auto"/>
        <w:jc w:val="both"/>
        <w:rPr>
          <w:rFonts w:ascii="Arial" w:hAnsi="Arial" w:cs="Arial"/>
          <w:color w:val="222222"/>
          <w:sz w:val="20"/>
          <w:szCs w:val="20"/>
          <w:shd w:val="clear" w:color="auto" w:fill="FFFFFF"/>
        </w:rPr>
      </w:pPr>
    </w:p>
    <w:p w:rsidR="00367B4C" w:rsidRPr="00E970CE" w:rsidRDefault="00367B4C" w:rsidP="00367B4C">
      <w:pPr>
        <w:pStyle w:val="ListParagraph"/>
        <w:numPr>
          <w:ilvl w:val="0"/>
          <w:numId w:val="10"/>
        </w:numPr>
        <w:tabs>
          <w:tab w:val="center" w:pos="4513"/>
          <w:tab w:val="left" w:pos="6264"/>
        </w:tabs>
        <w:spacing w:line="360" w:lineRule="auto"/>
        <w:jc w:val="both"/>
        <w:rPr>
          <w:lang w:val="en-US"/>
        </w:rPr>
      </w:pPr>
      <w:r w:rsidRPr="00A87B87">
        <w:rPr>
          <w:b/>
          <w:bCs/>
          <w:color w:val="222222"/>
          <w:shd w:val="clear" w:color="auto" w:fill="FFFFFF"/>
        </w:rPr>
        <w:lastRenderedPageBreak/>
        <w:t>Rajesh, M., &amp; Bhaskar, K. (2015).</w:t>
      </w:r>
      <w:r w:rsidRPr="00A87B87">
        <w:rPr>
          <w:color w:val="222222"/>
          <w:shd w:val="clear" w:color="auto" w:fill="FFFFFF"/>
        </w:rPr>
        <w:t xml:space="preserve"> Impact of fundamental factors on share price movements-A study on select listed companies of Indian manufacturing industries in Bombay Stock Exchange</w:t>
      </w:r>
      <w:r w:rsidRPr="00A87B87">
        <w:rPr>
          <w:rFonts w:eastAsia="Times New Roman"/>
          <w:kern w:val="0"/>
          <w:lang w:eastAsia="en-IN"/>
        </w:rPr>
        <w:t>The performance of the stock market is typically thought to be a good indicator of the financial and economic health of a nation. Numerous macroeconomic and industry-related factors could have an impact on the companies' share price changes. This study's main goal is to investigate how share prices vary in response to particular macroeconomic factors. Macroeconomic variables included in the study are GDP, Purchasing Power Parity (PPP), Market Price of Share (MPS), Inflation (INFL), Money Supply (M2), and Industrial Production (INP)</w:t>
      </w:r>
    </w:p>
    <w:p w:rsidR="00367B4C" w:rsidRPr="00E970CE" w:rsidRDefault="00367B4C" w:rsidP="00367B4C">
      <w:pPr>
        <w:pStyle w:val="ListParagraph"/>
        <w:jc w:val="both"/>
        <w:rPr>
          <w:b/>
          <w:bCs/>
          <w:lang w:eastAsia="en-IN"/>
        </w:rPr>
      </w:pPr>
    </w:p>
    <w:p w:rsidR="00367B4C" w:rsidRPr="00E970CE" w:rsidRDefault="00367B4C" w:rsidP="00367B4C">
      <w:pPr>
        <w:pStyle w:val="ListParagraph"/>
        <w:numPr>
          <w:ilvl w:val="0"/>
          <w:numId w:val="10"/>
        </w:numPr>
        <w:tabs>
          <w:tab w:val="center" w:pos="4513"/>
          <w:tab w:val="left" w:pos="6264"/>
        </w:tabs>
        <w:spacing w:line="360" w:lineRule="auto"/>
        <w:jc w:val="both"/>
        <w:rPr>
          <w:lang w:val="en-US"/>
        </w:rPr>
      </w:pPr>
      <w:r w:rsidRPr="00E970CE">
        <w:rPr>
          <w:b/>
          <w:bCs/>
          <w:lang w:eastAsia="en-IN"/>
        </w:rPr>
        <w:t>Amsaveni R, Gomathi S(2013)</w:t>
      </w:r>
      <w:r>
        <w:rPr>
          <w:lang w:eastAsia="en-IN"/>
        </w:rPr>
        <w:t xml:space="preserve"> “</w:t>
      </w:r>
      <w:r w:rsidRPr="00E03EA1">
        <w:rPr>
          <w:lang w:eastAsia="en-IN"/>
        </w:rPr>
        <w:t>Fundamental Analysis of Selected FMCG Companies in India</w:t>
      </w:r>
      <w:r>
        <w:rPr>
          <w:lang w:eastAsia="en-IN"/>
        </w:rPr>
        <w:t xml:space="preserve">” </w:t>
      </w:r>
      <w:r w:rsidRPr="00E970CE">
        <w:rPr>
          <w:rFonts w:eastAsia="Times New Roman"/>
          <w:kern w:val="0"/>
          <w:lang w:eastAsia="en-IN"/>
        </w:rPr>
        <w:t xml:space="preserve">With a sample size of six businesses, the current study attempts to analyze the fundamental analysis of FMCG companies listed on the Indian BSE between 2006–07 and 2011–12. The study aims to perform a SWOT analysis of the FMCG industry and a fundamental analysis of FMCG companies listed on the BSE. To achieve the study's goals, analyses of the economy, industry, and companies have been conducted. </w:t>
      </w:r>
    </w:p>
    <w:p w:rsidR="00367B4C" w:rsidRPr="00F203B3" w:rsidRDefault="00367B4C" w:rsidP="00367B4C">
      <w:pPr>
        <w:pStyle w:val="ListParagraph"/>
        <w:spacing w:line="360" w:lineRule="auto"/>
        <w:jc w:val="both"/>
        <w:rPr>
          <w:rFonts w:eastAsia="Times New Roman"/>
          <w:kern w:val="0"/>
          <w:lang w:eastAsia="en-IN"/>
        </w:rPr>
      </w:pPr>
    </w:p>
    <w:p w:rsidR="00367B4C" w:rsidRPr="00F203B3" w:rsidRDefault="00367B4C" w:rsidP="00367B4C">
      <w:pPr>
        <w:pStyle w:val="ListParagraph"/>
        <w:numPr>
          <w:ilvl w:val="0"/>
          <w:numId w:val="10"/>
        </w:numPr>
        <w:tabs>
          <w:tab w:val="center" w:pos="4513"/>
          <w:tab w:val="left" w:pos="6264"/>
        </w:tabs>
        <w:spacing w:line="360" w:lineRule="auto"/>
        <w:jc w:val="both"/>
        <w:rPr>
          <w:lang w:val="en-US"/>
        </w:rPr>
      </w:pPr>
      <w:r w:rsidRPr="00F203B3">
        <w:rPr>
          <w:b/>
          <w:bCs/>
          <w:color w:val="222222"/>
          <w:shd w:val="clear" w:color="auto" w:fill="FFFFFF"/>
        </w:rPr>
        <w:t>Shukla, H. J. (2009)</w:t>
      </w:r>
      <w:r w:rsidRPr="00BC281B">
        <w:rPr>
          <w:color w:val="222222"/>
          <w:shd w:val="clear" w:color="auto" w:fill="FFFFFF"/>
        </w:rPr>
        <w:t>. Corporate governance and Indian FMCG industry</w:t>
      </w:r>
      <w:r w:rsidRPr="00F203B3">
        <w:rPr>
          <w:rFonts w:eastAsia="Times New Roman"/>
          <w:kern w:val="0"/>
          <w:lang w:eastAsia="en-IN"/>
        </w:rPr>
        <w:t xml:space="preserve"> The purpose of this research is to investigate, within the Indian regulatory framework, the governance techniques used by well-known FMCG (fast-moving consumer goods) companies in India. The assessment of the corporate governance procedures' content and caliber of reporting in annual reports is another goal of the study. Four well-known FMCG businesses are included in the study: Tata Tea Ltd., ITC Ltd., Nestle (India) Ltd., and Hindustan Unilever Ltd. </w:t>
      </w:r>
    </w:p>
    <w:p w:rsidR="00367B4C" w:rsidRPr="00F203B3" w:rsidRDefault="00367B4C" w:rsidP="00367B4C">
      <w:pPr>
        <w:pStyle w:val="ListParagraph"/>
        <w:spacing w:line="360" w:lineRule="auto"/>
        <w:jc w:val="both"/>
        <w:rPr>
          <w:b/>
          <w:bCs/>
          <w:color w:val="222222"/>
          <w:shd w:val="clear" w:color="auto" w:fill="FFFFFF"/>
        </w:rPr>
      </w:pPr>
    </w:p>
    <w:p w:rsidR="00367B4C" w:rsidRPr="002A1164" w:rsidRDefault="00367B4C" w:rsidP="00367B4C">
      <w:pPr>
        <w:pStyle w:val="ListParagraph"/>
        <w:numPr>
          <w:ilvl w:val="0"/>
          <w:numId w:val="10"/>
        </w:numPr>
        <w:tabs>
          <w:tab w:val="center" w:pos="4513"/>
          <w:tab w:val="left" w:pos="6264"/>
        </w:tabs>
        <w:spacing w:line="360" w:lineRule="auto"/>
        <w:jc w:val="both"/>
        <w:rPr>
          <w:lang w:val="en-US"/>
        </w:rPr>
      </w:pPr>
      <w:r w:rsidRPr="00F203B3">
        <w:rPr>
          <w:b/>
          <w:bCs/>
          <w:color w:val="222222"/>
          <w:shd w:val="clear" w:color="auto" w:fill="FFFFFF"/>
        </w:rPr>
        <w:t>Jones, C. P.&amp; Litzenberger R. H. (1970)</w:t>
      </w:r>
      <w:r w:rsidRPr="00F203B3">
        <w:rPr>
          <w:color w:val="222222"/>
          <w:shd w:val="clear" w:color="auto" w:fill="FFFFFF"/>
        </w:rPr>
        <w:t>. Quarterly earnings reports and intermediate stock price trends. </w:t>
      </w:r>
      <w:r w:rsidRPr="00F203B3">
        <w:rPr>
          <w:rFonts w:eastAsia="Times New Roman"/>
          <w:kern w:val="0"/>
          <w:lang w:eastAsia="en-IN"/>
        </w:rPr>
        <w:t xml:space="preserve">The examination of financial statements is regarded by conventional Literature on security analysis as a crucial step in the investing process. Each year, millions of dollars are spent by investors on publications that offer historical data on common stocks. Ex-post data should only be used when it is relevant to ex-ante stock returns for security research and investing decisions. A lot of market experts argue that fresh information about the </w:t>
      </w:r>
      <w:r w:rsidRPr="00F203B3">
        <w:rPr>
          <w:rFonts w:eastAsia="Times New Roman"/>
          <w:kern w:val="0"/>
          <w:lang w:eastAsia="en-IN"/>
        </w:rPr>
        <w:lastRenderedPageBreak/>
        <w:t>intrinsic or fundamental value of a security is what drives an intermediate trend in stock prices. It is thought that investors are the ones who are creating this trend by gradually discounting this fresh information over time.</w:t>
      </w:r>
    </w:p>
    <w:p w:rsidR="00367B4C" w:rsidRPr="002A1164" w:rsidRDefault="00367B4C" w:rsidP="00367B4C">
      <w:pPr>
        <w:pStyle w:val="ListParagraph"/>
        <w:spacing w:line="360" w:lineRule="auto"/>
        <w:jc w:val="both"/>
        <w:rPr>
          <w:rFonts w:ascii="Arial" w:hAnsi="Arial" w:cs="Arial"/>
          <w:color w:val="222222"/>
          <w:sz w:val="20"/>
          <w:szCs w:val="20"/>
          <w:shd w:val="clear" w:color="auto" w:fill="FFFFFF"/>
        </w:rPr>
      </w:pPr>
    </w:p>
    <w:p w:rsidR="00367B4C" w:rsidRPr="00DE75C3" w:rsidRDefault="00367B4C" w:rsidP="00367B4C">
      <w:pPr>
        <w:pStyle w:val="ListParagraph"/>
        <w:numPr>
          <w:ilvl w:val="0"/>
          <w:numId w:val="10"/>
        </w:numPr>
        <w:tabs>
          <w:tab w:val="center" w:pos="4513"/>
          <w:tab w:val="left" w:pos="6264"/>
        </w:tabs>
        <w:spacing w:line="360" w:lineRule="auto"/>
        <w:jc w:val="both"/>
        <w:rPr>
          <w:lang w:val="en-US"/>
        </w:rPr>
      </w:pPr>
      <w:r w:rsidRPr="002A1164">
        <w:rPr>
          <w:b/>
          <w:bCs/>
          <w:color w:val="222222"/>
          <w:shd w:val="clear" w:color="auto" w:fill="FFFFFF"/>
        </w:rPr>
        <w:t>Das S.</w:t>
      </w:r>
      <w:r>
        <w:rPr>
          <w:b/>
          <w:bCs/>
          <w:color w:val="222222"/>
          <w:shd w:val="clear" w:color="auto" w:fill="FFFFFF"/>
        </w:rPr>
        <w:t>,</w:t>
      </w:r>
      <w:r w:rsidRPr="002A1164">
        <w:rPr>
          <w:b/>
          <w:bCs/>
          <w:color w:val="222222"/>
          <w:shd w:val="clear" w:color="auto" w:fill="FFFFFF"/>
        </w:rPr>
        <w:t xml:space="preserve"> Shroff P. K.&amp; Zhang H. (2009)</w:t>
      </w:r>
      <w:r w:rsidRPr="002A1164">
        <w:rPr>
          <w:color w:val="222222"/>
          <w:shd w:val="clear" w:color="auto" w:fill="FFFFFF"/>
        </w:rPr>
        <w:t>. Quarterly earnings patterns and earnings management. </w:t>
      </w:r>
      <w:r w:rsidRPr="002A1164">
        <w:rPr>
          <w:rFonts w:eastAsia="Times New Roman"/>
          <w:kern w:val="0"/>
          <w:lang w:eastAsia="en-IN"/>
        </w:rPr>
        <w:t>Based on empirical facts, companies may manipulate their profitability to satisfy analysts' expectations or to avoid disclosing losses or declines in earnings. Adjustments to earnings are probably going to be made when the excess or deficit from the objective becomes known if companies manage to meet or exceed a target figure. As a result, the timing of the manipulation is probably going to be a key differentiator that could help identify this kind of target management activity. In this work, we take advantage of the timing constraint on a company's capacity to manage toward a target and investigate if the quarterly earnings pattern can reveal information about possible earnings management.</w:t>
      </w:r>
    </w:p>
    <w:p w:rsidR="00367B4C" w:rsidRPr="00DE75C3" w:rsidRDefault="00367B4C" w:rsidP="00367B4C">
      <w:pPr>
        <w:pStyle w:val="ListParagraph"/>
        <w:spacing w:line="360" w:lineRule="auto"/>
        <w:jc w:val="both"/>
        <w:rPr>
          <w:b/>
          <w:bCs/>
          <w:color w:val="222222"/>
          <w:shd w:val="clear" w:color="auto" w:fill="FFFFFF"/>
        </w:rPr>
      </w:pPr>
    </w:p>
    <w:p w:rsidR="00367B4C" w:rsidRPr="00DE75C3" w:rsidRDefault="00367B4C" w:rsidP="00367B4C">
      <w:pPr>
        <w:pStyle w:val="ListParagraph"/>
        <w:numPr>
          <w:ilvl w:val="0"/>
          <w:numId w:val="10"/>
        </w:numPr>
        <w:tabs>
          <w:tab w:val="center" w:pos="4513"/>
          <w:tab w:val="left" w:pos="6264"/>
        </w:tabs>
        <w:spacing w:line="360" w:lineRule="auto"/>
        <w:jc w:val="both"/>
        <w:rPr>
          <w:lang w:val="en-US"/>
        </w:rPr>
      </w:pPr>
      <w:r w:rsidRPr="00DE75C3">
        <w:rPr>
          <w:b/>
          <w:bCs/>
          <w:color w:val="222222"/>
          <w:shd w:val="clear" w:color="auto" w:fill="FFFFFF"/>
        </w:rPr>
        <w:t>Kumar J. (2004)</w:t>
      </w:r>
      <w:r w:rsidRPr="00DE75C3">
        <w:rPr>
          <w:color w:val="222222"/>
          <w:shd w:val="clear" w:color="auto" w:fill="FFFFFF"/>
        </w:rPr>
        <w:t xml:space="preserve">. </w:t>
      </w:r>
      <w:r>
        <w:rPr>
          <w:color w:val="222222"/>
          <w:shd w:val="clear" w:color="auto" w:fill="FFFFFF"/>
        </w:rPr>
        <w:t>“</w:t>
      </w:r>
      <w:r w:rsidRPr="00DE75C3">
        <w:rPr>
          <w:color w:val="222222"/>
          <w:shd w:val="clear" w:color="auto" w:fill="FFFFFF"/>
        </w:rPr>
        <w:t>Share holding pattern and Firm Performance</w:t>
      </w:r>
      <w:r w:rsidRPr="00DE75C3">
        <w:rPr>
          <w:rFonts w:eastAsia="Times New Roman"/>
          <w:kern w:val="0"/>
          <w:lang w:eastAsia="en-IN"/>
        </w:rPr>
        <w:t xml:space="preserve"> From</w:t>
      </w:r>
      <w:r>
        <w:rPr>
          <w:rFonts w:eastAsia="Times New Roman"/>
          <w:kern w:val="0"/>
          <w:lang w:eastAsia="en-IN"/>
        </w:rPr>
        <w:t>”</w:t>
      </w:r>
      <w:r w:rsidRPr="00DE75C3">
        <w:rPr>
          <w:rFonts w:eastAsia="Times New Roman"/>
          <w:kern w:val="0"/>
          <w:lang w:eastAsia="en-IN"/>
        </w:rPr>
        <w:t xml:space="preserve"> a "agency perspective," this study empirically investigates the impact of ownership structure on the performance of a sizable sample of Indian corporate firms. We look at how managerial ownership, foreign ownership, corporate ownership, and financial institutions interact to affect the success of the company. Our empirical data indicates a positive correlation between the size and age of the firm and its success.</w:t>
      </w:r>
    </w:p>
    <w:p w:rsidR="00367B4C" w:rsidRDefault="00367B4C" w:rsidP="00367B4C">
      <w:pPr>
        <w:jc w:val="center"/>
        <w:rPr>
          <w:b/>
          <w:bCs/>
          <w:sz w:val="32"/>
          <w:szCs w:val="32"/>
        </w:rPr>
      </w:pPr>
    </w:p>
    <w:p w:rsidR="00367B4C" w:rsidRDefault="00367B4C" w:rsidP="00367B4C">
      <w:pPr>
        <w:jc w:val="center"/>
        <w:rPr>
          <w:b/>
          <w:bCs/>
          <w:sz w:val="32"/>
          <w:szCs w:val="32"/>
        </w:rPr>
      </w:pPr>
    </w:p>
    <w:p w:rsidR="002423EC" w:rsidRDefault="002423EC" w:rsidP="00CC1499">
      <w:pPr>
        <w:jc w:val="center"/>
        <w:rPr>
          <w:b/>
          <w:bCs/>
          <w:sz w:val="32"/>
          <w:szCs w:val="32"/>
        </w:rPr>
      </w:pPr>
    </w:p>
    <w:p w:rsidR="002423EC" w:rsidRDefault="002423EC" w:rsidP="00CC1499">
      <w:pPr>
        <w:jc w:val="center"/>
        <w:rPr>
          <w:b/>
          <w:bCs/>
          <w:sz w:val="32"/>
          <w:szCs w:val="32"/>
        </w:rPr>
      </w:pPr>
    </w:p>
    <w:p w:rsidR="002423EC" w:rsidRDefault="002423EC" w:rsidP="00CC1499">
      <w:pPr>
        <w:jc w:val="center"/>
        <w:rPr>
          <w:b/>
          <w:bCs/>
          <w:sz w:val="32"/>
          <w:szCs w:val="32"/>
        </w:rPr>
      </w:pPr>
    </w:p>
    <w:p w:rsidR="002423EC" w:rsidRDefault="002423EC"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367B4C" w:rsidRDefault="00367B4C" w:rsidP="00CC1499">
      <w:pPr>
        <w:jc w:val="center"/>
        <w:rPr>
          <w:b/>
          <w:bCs/>
          <w:sz w:val="32"/>
          <w:szCs w:val="32"/>
        </w:rPr>
      </w:pPr>
    </w:p>
    <w:p w:rsidR="00CC1499" w:rsidRDefault="00CC1499" w:rsidP="00CC1499">
      <w:pPr>
        <w:jc w:val="center"/>
        <w:rPr>
          <w:b/>
          <w:bCs/>
          <w:sz w:val="32"/>
          <w:szCs w:val="32"/>
        </w:rPr>
      </w:pPr>
      <w:r>
        <w:rPr>
          <w:b/>
          <w:bCs/>
          <w:sz w:val="32"/>
          <w:szCs w:val="32"/>
        </w:rPr>
        <w:t>CHAPTER 3</w:t>
      </w:r>
    </w:p>
    <w:p w:rsidR="00CC1499" w:rsidRDefault="00CC1499" w:rsidP="00CC1499">
      <w:pPr>
        <w:jc w:val="center"/>
        <w:rPr>
          <w:b/>
          <w:bCs/>
          <w:sz w:val="32"/>
          <w:szCs w:val="32"/>
        </w:rPr>
      </w:pPr>
      <w:r>
        <w:rPr>
          <w:b/>
          <w:bCs/>
          <w:sz w:val="32"/>
          <w:szCs w:val="32"/>
        </w:rPr>
        <w:t>THEORETICAL FRAMEWORK</w:t>
      </w: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367B4C" w:rsidRPr="00410721" w:rsidRDefault="00367B4C" w:rsidP="00367B4C">
      <w:pPr>
        <w:tabs>
          <w:tab w:val="center" w:pos="4513"/>
          <w:tab w:val="left" w:pos="6264"/>
        </w:tabs>
        <w:spacing w:line="360" w:lineRule="auto"/>
        <w:rPr>
          <w:b/>
          <w:bCs/>
          <w:sz w:val="28"/>
          <w:szCs w:val="28"/>
          <w:lang w:val="en-US"/>
        </w:rPr>
      </w:pPr>
      <w:bookmarkStart w:id="8" w:name="_Hlk162274493"/>
      <w:bookmarkStart w:id="9" w:name="_Hlk162165318"/>
      <w:bookmarkEnd w:id="6"/>
      <w:bookmarkEnd w:id="7"/>
    </w:p>
    <w:p w:rsidR="00367B4C" w:rsidRPr="00410721" w:rsidRDefault="00367B4C" w:rsidP="00367B4C">
      <w:pPr>
        <w:tabs>
          <w:tab w:val="center" w:pos="4513"/>
          <w:tab w:val="left" w:pos="6264"/>
        </w:tabs>
        <w:spacing w:line="360" w:lineRule="auto"/>
        <w:rPr>
          <w:b/>
          <w:bCs/>
          <w:sz w:val="28"/>
          <w:szCs w:val="28"/>
          <w:lang w:val="en-US"/>
        </w:rPr>
      </w:pPr>
      <w:r>
        <w:rPr>
          <w:b/>
          <w:bCs/>
          <w:sz w:val="28"/>
          <w:szCs w:val="28"/>
          <w:lang w:val="en-US"/>
        </w:rPr>
        <w:lastRenderedPageBreak/>
        <w:t>3.1</w:t>
      </w:r>
      <w:r w:rsidRPr="00410721">
        <w:rPr>
          <w:b/>
          <w:bCs/>
          <w:sz w:val="28"/>
          <w:szCs w:val="28"/>
          <w:lang w:val="en-US"/>
        </w:rPr>
        <w:t xml:space="preserve"> Introduction</w:t>
      </w:r>
    </w:p>
    <w:p w:rsidR="00367B4C" w:rsidRPr="00243058" w:rsidRDefault="00367B4C" w:rsidP="00367B4C">
      <w:pPr>
        <w:tabs>
          <w:tab w:val="center" w:pos="4513"/>
          <w:tab w:val="left" w:pos="6264"/>
        </w:tabs>
        <w:spacing w:line="360" w:lineRule="auto"/>
        <w:jc w:val="both"/>
        <w:rPr>
          <w:lang w:val="en-US"/>
        </w:rPr>
      </w:pPr>
      <w:r w:rsidRPr="00243058">
        <w:rPr>
          <w:lang w:val="en-US"/>
        </w:rPr>
        <w:t>Rising product costs, particularly for necessities, and consumer-driven growth contributed to the FMCG sector's expansion in India. Approximately 3 million people are employed in the FMCG sector, which makes up 5% of all factory jobs in India. The country's FMCG sales were predicted to increase by 7-9% in terms of revenue in 2022–2023. Favorable government initiatives and laws, a growing rural market and youth population, new branded items, and the expansion of e-commerce platforms are the main growth factors for the industry. The production process, day-to-day operations, retail and logistical channels, consumer insights, and communication all need to prioritize resilience if FMCG companies are to endure over the long term and provide greater value for their customers. Fast-moving consumer items in India.</w:t>
      </w:r>
    </w:p>
    <w:p w:rsidR="00367B4C" w:rsidRPr="00243058" w:rsidRDefault="00367B4C" w:rsidP="00367B4C">
      <w:pPr>
        <w:tabs>
          <w:tab w:val="center" w:pos="4513"/>
          <w:tab w:val="left" w:pos="6264"/>
        </w:tabs>
        <w:spacing w:line="360" w:lineRule="auto"/>
        <w:jc w:val="both"/>
        <w:rPr>
          <w:lang w:val="en-US"/>
        </w:rPr>
      </w:pPr>
      <w:r w:rsidRPr="00243058">
        <w:rPr>
          <w:lang w:val="en-US"/>
        </w:rPr>
        <w:t>India has a middle class population larger than the United States, making it a market that no FMCG player can afford to ignore. As more people begin to climb the economic ladder and the general public may now enjoy the advantages of economic advancement, the Indian FMCG market is expected to grow further. increasingly importantly, as aspirations rise, India's population, with a median age of barely 27, is growing increasingly consumerist. Government programs to create social safety nets and broaden financial inclusion have also helped with this.</w:t>
      </w:r>
    </w:p>
    <w:p w:rsidR="00367B4C" w:rsidRPr="00243058" w:rsidRDefault="00367B4C" w:rsidP="00367B4C">
      <w:pPr>
        <w:tabs>
          <w:tab w:val="center" w:pos="4513"/>
          <w:tab w:val="left" w:pos="6264"/>
        </w:tabs>
        <w:spacing w:line="360" w:lineRule="auto"/>
        <w:jc w:val="both"/>
        <w:rPr>
          <w:lang w:val="en-US"/>
        </w:rPr>
      </w:pPr>
      <w:r w:rsidRPr="00243058">
        <w:rPr>
          <w:lang w:val="en-US"/>
        </w:rPr>
        <w:t>The primary growth factors for the sector have been changing lifestyles, easier access, and more awareness. The largest contributor to overall revenue is the urban segment, which makes up roughly 65% of total revenue.</w:t>
      </w:r>
    </w:p>
    <w:p w:rsidR="00367B4C" w:rsidRPr="00243058" w:rsidRDefault="00367B4C" w:rsidP="00367B4C">
      <w:pPr>
        <w:tabs>
          <w:tab w:val="center" w:pos="4513"/>
          <w:tab w:val="left" w:pos="6264"/>
        </w:tabs>
        <w:spacing w:line="360" w:lineRule="auto"/>
        <w:ind w:left="432"/>
        <w:jc w:val="both"/>
        <w:rPr>
          <w:lang w:val="en-US"/>
        </w:rPr>
      </w:pPr>
    </w:p>
    <w:p w:rsidR="00367B4C" w:rsidRPr="00410721" w:rsidRDefault="00367B4C" w:rsidP="00367B4C">
      <w:pPr>
        <w:pStyle w:val="ListParagraph"/>
        <w:numPr>
          <w:ilvl w:val="1"/>
          <w:numId w:val="19"/>
        </w:numPr>
        <w:tabs>
          <w:tab w:val="center" w:pos="4513"/>
          <w:tab w:val="left" w:pos="6264"/>
        </w:tabs>
        <w:spacing w:line="360" w:lineRule="auto"/>
        <w:jc w:val="both"/>
        <w:rPr>
          <w:b/>
          <w:bCs/>
          <w:sz w:val="28"/>
          <w:szCs w:val="28"/>
          <w:lang w:val="en-US"/>
        </w:rPr>
      </w:pPr>
      <w:r w:rsidRPr="00410721">
        <w:rPr>
          <w:b/>
          <w:bCs/>
          <w:sz w:val="28"/>
          <w:szCs w:val="28"/>
          <w:lang w:val="en-US"/>
        </w:rPr>
        <w:t xml:space="preserve"> FMCG Industry in India</w:t>
      </w:r>
    </w:p>
    <w:p w:rsidR="00367B4C" w:rsidRPr="00243058" w:rsidRDefault="00367B4C" w:rsidP="00367B4C">
      <w:pPr>
        <w:tabs>
          <w:tab w:val="center" w:pos="4513"/>
          <w:tab w:val="left" w:pos="6264"/>
        </w:tabs>
        <w:spacing w:line="360" w:lineRule="auto"/>
        <w:jc w:val="both"/>
        <w:rPr>
          <w:lang w:val="en-US"/>
        </w:rPr>
      </w:pPr>
      <w:r w:rsidRPr="00243058">
        <w:rPr>
          <w:lang w:val="en-US"/>
        </w:rPr>
        <w:t xml:space="preserve">There was not much investment in the FMCG industry between 1950 and 1980. Because the purchasing capacity of the local population was reduced, need products were chosen above luxury ones. The Indian government has a tendency to give local stores and merchants preference. People's need for a wider range of items drove FMCG companies to expand their product offerings between 1980 and 1990. The FMCG sector began to gain popularity, and new businesses began to enter it. The simultaneous boom in the Indian media sector encouraged new businesses to focus even more on turning a profit.[Reference needed] Local consumers could not purchase western clothing or </w:t>
      </w:r>
      <w:r w:rsidRPr="00243058">
        <w:rPr>
          <w:lang w:val="en-US"/>
        </w:rPr>
        <w:lastRenderedPageBreak/>
        <w:t>foreign food items before to 1991, when globalization and liberalization took place in India. The general public was not very brand savvy.</w:t>
      </w:r>
    </w:p>
    <w:p w:rsidR="00367B4C" w:rsidRPr="00243058" w:rsidRDefault="00367B4C" w:rsidP="00367B4C">
      <w:pPr>
        <w:tabs>
          <w:tab w:val="center" w:pos="4513"/>
          <w:tab w:val="left" w:pos="6264"/>
        </w:tabs>
        <w:spacing w:line="360" w:lineRule="auto"/>
        <w:jc w:val="both"/>
        <w:rPr>
          <w:lang w:val="en-US"/>
        </w:rPr>
      </w:pPr>
      <w:r w:rsidRPr="00243058">
        <w:rPr>
          <w:lang w:val="en-US"/>
        </w:rPr>
        <w:t>The company's culture was established in 1961 by Prakash Tandon, and it has since been upheld by a number of legends, including Ashok Ganguly, SM Datta, and Sanjiv Mehta. However, the narrative started in earnest during the summer of 1888. Crates with Sunlight soap bars bearing the imprint "Made in England by Lever Brothers" were visible to visitors to the Kolkata harbor. It also brought with it the advent of branded FMCG (fast-moving consumer goods) marketing. The remainder is history, as they say.</w:t>
      </w:r>
    </w:p>
    <w:p w:rsidR="00367B4C" w:rsidRPr="00243058" w:rsidRDefault="00367B4C" w:rsidP="00367B4C">
      <w:pPr>
        <w:tabs>
          <w:tab w:val="center" w:pos="4513"/>
          <w:tab w:val="left" w:pos="6264"/>
        </w:tabs>
        <w:spacing w:line="360" w:lineRule="auto"/>
        <w:jc w:val="both"/>
        <w:rPr>
          <w:lang w:val="en-US"/>
        </w:rPr>
      </w:pPr>
      <w:r w:rsidRPr="00243058">
        <w:rPr>
          <w:lang w:val="en-US"/>
        </w:rPr>
        <w:t xml:space="preserve">the following bullet points </w:t>
      </w:r>
      <w:r>
        <w:rPr>
          <w:lang w:val="en-US"/>
        </w:rPr>
        <w:t xml:space="preserve">have been summarized </w:t>
      </w:r>
      <w:r w:rsidRPr="00243058">
        <w:rPr>
          <w:lang w:val="en-US"/>
        </w:rPr>
        <w:t>for the purpose of succinctnes</w:t>
      </w:r>
      <w:r>
        <w:rPr>
          <w:lang w:val="en-US"/>
        </w:rPr>
        <w:t>s</w:t>
      </w:r>
      <w:r w:rsidRPr="00243058">
        <w:rPr>
          <w:lang w:val="en-US"/>
        </w:rPr>
        <w:t>:</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India first used Sunlight soap in 1888.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1895: Lever Brothers employs agents in Mumbai, Chennai, Kolkata, and Karachi; Lifebuoy soap is introduced.</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Indian pears soap was first released in 1902.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Introducing Brooke Bond Red Label tea in 1903.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Lux flakes were introduced in 1905.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Introduction of Vim scrubbing powder in 1913.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Vinolia soap was introduced in India in 1914.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1918 saw the introduction of vanaspati by Dutch margarine producers Hartogs, Verschure Creameries, Vanden Berghs, and Jurgens.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Rinso soap powder was introduced in 1922.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Gibbs Dental started making preparations in 1924.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Lever Brothers acquires complete control of North West Soap Company in 1925.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Dalda Trademark is registered by Hartogs in 1926.</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1930: On January 1st, Lever Brothers and Margarine Unie merge to establish Unilever. Less than four years had passed since William Hesketh Lever introduced Sunlight Soap to the English market when his newly established business, Lever Brothers, began shipping the ground-breaking laundry soap to India in 1888. By the time the business combined with Margarine Unie, a company founded in the Netherlands, in 1930 to form Hindustan Unilever.1931: The Sewri plant site was purchased; on </w:t>
      </w:r>
      <w:r w:rsidRPr="00E57B8C">
        <w:rPr>
          <w:lang w:val="en-US"/>
        </w:rPr>
        <w:lastRenderedPageBreak/>
        <w:t xml:space="preserve">November 27, the Hindustan Vanaspati Manufacturing Company was incorporated.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1932: Vanaspati is first manufactured in Sewri.</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1933: LBIL, a wholly owned subsidiary of Unilever, Ltd., London, UK, was incorporated on October 17th, 1933, under the name Lever Brothers (India) Pvt., Ltd. In order to produce soap, Lever Brothers India Limited (LBIL) was established in India in 1933.</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1934 - In October, the Sewri factory starts producing soap. North West Soap Company then rents and expands this factory to create Lever brands.</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1935 - United Traders Pvt. Ltd., a subsidiary company, was founded on May 11th, 1935 with the purpose of promoting the company's or its imports' products.</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1939: Garden Reach Factory is fully acquired, with the goal of establishing Dalda Vanaspati as a brand.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1941: The corporation obtains its own sales personnel and takes over agencies in Mumbai, Chennai, Kolkata, and Karachi.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1942: Unilever makes the decisive move to train Indians to replace Europeans in junior and senior managerial roles.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1943: Garden Reach Factory in India starts producing personal products.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The three businesses were reorganized in 1944, sharing administration but maintaining independent marketing departments.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Pond's Cold Cream was introduced in 1947.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 xml:space="preserve">1951: The first Indian director is Mr. Prakash Tandon. Vanaspati factories purchased in Ghaziabad, Tiruchy, and Shamnagar. </w:t>
      </w:r>
    </w:p>
    <w:p w:rsidR="00367B4C" w:rsidRPr="00E57B8C" w:rsidRDefault="00367B4C" w:rsidP="00367B4C">
      <w:pPr>
        <w:pStyle w:val="ListParagraph"/>
        <w:numPr>
          <w:ilvl w:val="0"/>
          <w:numId w:val="18"/>
        </w:numPr>
        <w:tabs>
          <w:tab w:val="center" w:pos="4513"/>
          <w:tab w:val="left" w:pos="6264"/>
        </w:tabs>
        <w:spacing w:line="360" w:lineRule="auto"/>
        <w:jc w:val="both"/>
        <w:rPr>
          <w:lang w:val="en-US"/>
        </w:rPr>
      </w:pPr>
      <w:r w:rsidRPr="00E57B8C">
        <w:rPr>
          <w:lang w:val="en-US"/>
        </w:rPr>
        <w:t>1955: Indians make up 65% of managers.</w:t>
      </w:r>
    </w:p>
    <w:p w:rsidR="00367B4C" w:rsidRPr="00243058" w:rsidRDefault="00367B4C" w:rsidP="00367B4C">
      <w:pPr>
        <w:tabs>
          <w:tab w:val="center" w:pos="4513"/>
          <w:tab w:val="left" w:pos="6264"/>
        </w:tabs>
        <w:spacing w:line="360" w:lineRule="auto"/>
        <w:ind w:left="432"/>
        <w:jc w:val="both"/>
        <w:rPr>
          <w:lang w:val="en-US"/>
        </w:rPr>
      </w:pPr>
    </w:p>
    <w:p w:rsidR="00367B4C" w:rsidRPr="004876EF" w:rsidRDefault="00367B4C" w:rsidP="00367B4C">
      <w:pPr>
        <w:pStyle w:val="ListParagraph"/>
        <w:numPr>
          <w:ilvl w:val="2"/>
          <w:numId w:val="19"/>
        </w:numPr>
        <w:tabs>
          <w:tab w:val="center" w:pos="4513"/>
          <w:tab w:val="left" w:pos="6264"/>
        </w:tabs>
        <w:spacing w:line="360" w:lineRule="auto"/>
        <w:jc w:val="both"/>
        <w:rPr>
          <w:b/>
          <w:bCs/>
          <w:sz w:val="28"/>
          <w:szCs w:val="28"/>
          <w:lang w:val="en-US"/>
        </w:rPr>
      </w:pPr>
      <w:r w:rsidRPr="004876EF">
        <w:rPr>
          <w:b/>
          <w:bCs/>
          <w:sz w:val="28"/>
          <w:szCs w:val="28"/>
          <w:lang w:val="en-US"/>
        </w:rPr>
        <w:t>Company Profile</w:t>
      </w:r>
    </w:p>
    <w:p w:rsidR="00367B4C" w:rsidRPr="00243058" w:rsidRDefault="00367B4C" w:rsidP="00367B4C">
      <w:pPr>
        <w:tabs>
          <w:tab w:val="center" w:pos="4513"/>
          <w:tab w:val="left" w:pos="6264"/>
        </w:tabs>
        <w:spacing w:line="360" w:lineRule="auto"/>
        <w:ind w:left="432"/>
        <w:jc w:val="both"/>
        <w:rPr>
          <w:lang w:val="en-US"/>
        </w:rPr>
      </w:pPr>
      <w:r w:rsidRPr="00243058">
        <w:rPr>
          <w:lang w:val="en-US"/>
        </w:rPr>
        <w:t>For this study 5 major FMCG Companies are chosen . Their company profile are as following:</w:t>
      </w:r>
    </w:p>
    <w:p w:rsidR="00367B4C" w:rsidRPr="00610E7A" w:rsidRDefault="00367B4C" w:rsidP="00367B4C">
      <w:pPr>
        <w:pStyle w:val="ListParagraph"/>
        <w:numPr>
          <w:ilvl w:val="0"/>
          <w:numId w:val="11"/>
        </w:numPr>
        <w:spacing w:line="360" w:lineRule="auto"/>
        <w:jc w:val="both"/>
        <w:rPr>
          <w:sz w:val="28"/>
          <w:szCs w:val="28"/>
          <w:lang w:val="en-US"/>
        </w:rPr>
      </w:pPr>
      <w:r w:rsidRPr="00243058">
        <w:rPr>
          <w:b/>
          <w:bCs/>
          <w:sz w:val="28"/>
          <w:szCs w:val="28"/>
          <w:lang w:val="en-US"/>
        </w:rPr>
        <w:t xml:space="preserve">Hindustan Unilever Ltd. </w:t>
      </w:r>
    </w:p>
    <w:p w:rsidR="00367B4C" w:rsidRDefault="00367B4C" w:rsidP="00367B4C">
      <w:pPr>
        <w:spacing w:line="360" w:lineRule="auto"/>
        <w:ind w:left="432"/>
        <w:jc w:val="both"/>
        <w:rPr>
          <w:lang w:val="en-US"/>
        </w:rPr>
      </w:pPr>
      <w:r w:rsidRPr="00243058">
        <w:rPr>
          <w:noProof/>
          <w:lang w:val="en-US" w:bidi="ml-IN"/>
        </w:rPr>
        <w:drawing>
          <wp:anchor distT="0" distB="0" distL="114300" distR="114300" simplePos="0" relativeHeight="251664384" behindDoc="0" locked="0" layoutInCell="1" allowOverlap="1">
            <wp:simplePos x="0" y="0"/>
            <wp:positionH relativeFrom="column">
              <wp:posOffset>1511989</wp:posOffset>
            </wp:positionH>
            <wp:positionV relativeFrom="paragraph">
              <wp:posOffset>4445</wp:posOffset>
            </wp:positionV>
            <wp:extent cx="2838694" cy="1390328"/>
            <wp:effectExtent l="0" t="0" r="0" b="0"/>
            <wp:wrapNone/>
            <wp:docPr id="1622815434" name="Picture 1622815434" descr="Details more than 76 hindustan unilever ltd logo super hot - ceg.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s more than 76 hindustan unilever ltd logo super hot - ceg.edu.v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8694" cy="1390328"/>
                    </a:xfrm>
                    <a:prstGeom prst="rect">
                      <a:avLst/>
                    </a:prstGeom>
                    <a:noFill/>
                    <a:ln>
                      <a:noFill/>
                    </a:ln>
                  </pic:spPr>
                </pic:pic>
              </a:graphicData>
            </a:graphic>
          </wp:anchor>
        </w:drawing>
      </w:r>
    </w:p>
    <w:p w:rsidR="00367B4C" w:rsidRPr="00243058" w:rsidRDefault="00367B4C" w:rsidP="00367B4C">
      <w:pPr>
        <w:spacing w:line="360" w:lineRule="auto"/>
        <w:jc w:val="both"/>
        <w:rPr>
          <w:lang w:val="en-US"/>
        </w:rPr>
      </w:pPr>
      <w:r w:rsidRPr="00243058">
        <w:rPr>
          <w:lang w:val="en-US"/>
        </w:rPr>
        <w:lastRenderedPageBreak/>
        <w:t>As the biggest fast-moving consumer goods (FMCG) company in India, HUL is present in nine out of 10 households. It has a strong 90-year history in the nation and is a subsidiary of the massive global corporation Unilever.The extensive portfolio of HUL includes over 50 brands in 16 FMCG categories. HUL offers something for everyone, including beauty giants like Lakmé and Dove, domestic essentials like Lux soap and Lifebuoy detergent, and beloved food and beverage items like Knorr soups and Brooke Bond tea.</w:t>
      </w:r>
    </w:p>
    <w:p w:rsidR="00367B4C" w:rsidRPr="00243058" w:rsidRDefault="00367B4C" w:rsidP="00367B4C">
      <w:pPr>
        <w:spacing w:line="360" w:lineRule="auto"/>
        <w:jc w:val="both"/>
        <w:rPr>
          <w:lang w:val="en-US"/>
        </w:rPr>
      </w:pPr>
      <w:r w:rsidRPr="00243058">
        <w:rPr>
          <w:lang w:val="en-US"/>
        </w:rPr>
        <w:t>HUL is dedicated to establishing sustainable living as the norm. Their "Compass" approach, which emphasizes steady, profitable, competitive, and responsible growth, incorporates sustainability throughout all aspects of their business.They are signatories to the UN Global Compact and have received multiple honors for their environmental efforts.With more than 30,000 employees, HUL makes a major economic contribution to India. Every year, they produce more than 65 billion products, which they then distribute via a vast network of nine million physical stores and online.</w:t>
      </w:r>
    </w:p>
    <w:p w:rsidR="00367B4C" w:rsidRPr="00243058" w:rsidRDefault="00367B4C" w:rsidP="00367B4C">
      <w:pPr>
        <w:spacing w:line="360" w:lineRule="auto"/>
        <w:jc w:val="both"/>
        <w:rPr>
          <w:lang w:val="en-US"/>
        </w:rPr>
      </w:pPr>
      <w:r w:rsidRPr="00243058">
        <w:rPr>
          <w:lang w:val="en-US"/>
        </w:rPr>
        <w:t>To put it briefly, HUL is a well-known brand in India that is associated with high-quality goods, sustainability, and a dedication to having a beneficial influence.</w:t>
      </w:r>
    </w:p>
    <w:p w:rsidR="00367B4C" w:rsidRPr="00243058" w:rsidRDefault="00367B4C" w:rsidP="00367B4C">
      <w:pPr>
        <w:tabs>
          <w:tab w:val="center" w:pos="4513"/>
          <w:tab w:val="left" w:pos="6264"/>
        </w:tabs>
        <w:spacing w:line="360" w:lineRule="auto"/>
        <w:jc w:val="both"/>
        <w:rPr>
          <w:b/>
          <w:bCs/>
          <w:lang w:val="en-US"/>
        </w:rPr>
      </w:pPr>
    </w:p>
    <w:p w:rsidR="00367B4C" w:rsidRPr="00243058" w:rsidRDefault="00367B4C" w:rsidP="00367B4C">
      <w:pPr>
        <w:pStyle w:val="ListParagraph"/>
        <w:numPr>
          <w:ilvl w:val="0"/>
          <w:numId w:val="11"/>
        </w:numPr>
        <w:tabs>
          <w:tab w:val="center" w:pos="4513"/>
          <w:tab w:val="left" w:pos="6264"/>
        </w:tabs>
        <w:spacing w:line="360" w:lineRule="auto"/>
        <w:jc w:val="both"/>
        <w:rPr>
          <w:b/>
          <w:bCs/>
          <w:sz w:val="28"/>
          <w:szCs w:val="28"/>
          <w:lang w:val="en-US"/>
        </w:rPr>
      </w:pPr>
      <w:r w:rsidRPr="00243058">
        <w:rPr>
          <w:b/>
          <w:bCs/>
          <w:sz w:val="28"/>
          <w:szCs w:val="28"/>
          <w:lang w:val="en-US"/>
        </w:rPr>
        <w:t>Indian Tobacco Company Ltd. (ITC ltd.)</w:t>
      </w:r>
    </w:p>
    <w:p w:rsidR="00367B4C" w:rsidRPr="00243058" w:rsidRDefault="00367B4C" w:rsidP="00367B4C">
      <w:pPr>
        <w:tabs>
          <w:tab w:val="center" w:pos="4513"/>
          <w:tab w:val="left" w:pos="6264"/>
        </w:tabs>
        <w:spacing w:line="360" w:lineRule="auto"/>
        <w:ind w:left="432"/>
        <w:jc w:val="both"/>
        <w:rPr>
          <w:b/>
          <w:bCs/>
          <w:lang w:val="en-US"/>
        </w:rPr>
      </w:pPr>
      <w:r w:rsidRPr="00243058">
        <w:rPr>
          <w:noProof/>
          <w:lang w:val="en-US" w:bidi="ml-IN"/>
        </w:rPr>
        <w:drawing>
          <wp:anchor distT="0" distB="0" distL="114300" distR="114300" simplePos="0" relativeHeight="251660288" behindDoc="0" locked="0" layoutInCell="1" allowOverlap="1">
            <wp:simplePos x="0" y="0"/>
            <wp:positionH relativeFrom="column">
              <wp:posOffset>2050432</wp:posOffset>
            </wp:positionH>
            <wp:positionV relativeFrom="paragraph">
              <wp:posOffset>149356</wp:posOffset>
            </wp:positionV>
            <wp:extent cx="1384419" cy="1439796"/>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419" cy="1439796"/>
                    </a:xfrm>
                    <a:prstGeom prst="rect">
                      <a:avLst/>
                    </a:prstGeom>
                    <a:noFill/>
                    <a:ln>
                      <a:noFill/>
                    </a:ln>
                  </pic:spPr>
                </pic:pic>
              </a:graphicData>
            </a:graphic>
          </wp:anchor>
        </w:drawing>
      </w:r>
    </w:p>
    <w:p w:rsidR="00367B4C" w:rsidRPr="00243058" w:rsidRDefault="00367B4C" w:rsidP="00367B4C">
      <w:pPr>
        <w:spacing w:line="360" w:lineRule="auto"/>
        <w:jc w:val="both"/>
        <w:rPr>
          <w:lang w:val="en-US"/>
        </w:rPr>
      </w:pPr>
    </w:p>
    <w:p w:rsidR="00367B4C" w:rsidRPr="00243058" w:rsidRDefault="00367B4C" w:rsidP="00367B4C">
      <w:pPr>
        <w:spacing w:line="360" w:lineRule="auto"/>
        <w:jc w:val="both"/>
        <w:rPr>
          <w:lang w:val="en-US"/>
        </w:rPr>
      </w:pPr>
    </w:p>
    <w:p w:rsidR="00367B4C" w:rsidRDefault="00367B4C" w:rsidP="00367B4C">
      <w:pPr>
        <w:spacing w:line="360" w:lineRule="auto"/>
        <w:jc w:val="both"/>
        <w:rPr>
          <w:lang w:val="en-US"/>
        </w:rPr>
      </w:pPr>
    </w:p>
    <w:p w:rsidR="00367B4C" w:rsidRPr="00243058" w:rsidRDefault="00367B4C" w:rsidP="00367B4C">
      <w:pPr>
        <w:spacing w:line="360" w:lineRule="auto"/>
        <w:jc w:val="both"/>
        <w:rPr>
          <w:lang w:val="en-US"/>
        </w:rPr>
      </w:pPr>
    </w:p>
    <w:p w:rsidR="00367B4C" w:rsidRPr="00243058" w:rsidRDefault="00367B4C" w:rsidP="00367B4C">
      <w:pPr>
        <w:spacing w:line="360" w:lineRule="auto"/>
        <w:jc w:val="both"/>
        <w:rPr>
          <w:lang w:val="en-US"/>
        </w:rPr>
      </w:pPr>
      <w:r w:rsidRPr="00243058">
        <w:rPr>
          <w:lang w:val="en-US"/>
        </w:rPr>
        <w:t>The Indian global conglomerate firm ITC Limited, usually referred to as ITC, has its headquarters located in Kolkata, West Bengal. Since its founding as a little tobacco company in 1910, it has expanded into other industries, such as: With well-known brands including Aashirvaad, Sunfeast, Bingo, and Yippee!, ITC is a significant player in the Indian FMCG business.</w:t>
      </w:r>
    </w:p>
    <w:p w:rsidR="00367B4C" w:rsidRPr="00243058" w:rsidRDefault="00367B4C" w:rsidP="00367B4C">
      <w:pPr>
        <w:pStyle w:val="ListParagraph"/>
        <w:numPr>
          <w:ilvl w:val="0"/>
          <w:numId w:val="12"/>
        </w:numPr>
        <w:spacing w:line="360" w:lineRule="auto"/>
        <w:jc w:val="both"/>
        <w:rPr>
          <w:lang w:val="en-US"/>
        </w:rPr>
      </w:pPr>
      <w:r w:rsidRPr="00243058">
        <w:rPr>
          <w:lang w:val="en-US"/>
        </w:rPr>
        <w:lastRenderedPageBreak/>
        <w:t>Hotels: ITC has a range of opulent accommodations in India that are marketed as Fortune Hotels, WelcomHeritage, and ITC Hotels.</w:t>
      </w:r>
    </w:p>
    <w:p w:rsidR="00367B4C" w:rsidRPr="00243058" w:rsidRDefault="00367B4C" w:rsidP="00367B4C">
      <w:pPr>
        <w:pStyle w:val="ListParagraph"/>
        <w:numPr>
          <w:ilvl w:val="0"/>
          <w:numId w:val="12"/>
        </w:numPr>
        <w:spacing w:line="360" w:lineRule="auto"/>
        <w:jc w:val="both"/>
        <w:rPr>
          <w:lang w:val="en-US"/>
        </w:rPr>
      </w:pPr>
      <w:r w:rsidRPr="00243058">
        <w:rPr>
          <w:lang w:val="en-US"/>
        </w:rPr>
        <w:t>Packaging and paperboards: ITC is one of India's top producers of packaging and paperboard goods.</w:t>
      </w:r>
    </w:p>
    <w:p w:rsidR="00367B4C" w:rsidRPr="00243058" w:rsidRDefault="00367B4C" w:rsidP="00367B4C">
      <w:pPr>
        <w:pStyle w:val="ListParagraph"/>
        <w:numPr>
          <w:ilvl w:val="0"/>
          <w:numId w:val="12"/>
        </w:numPr>
        <w:spacing w:line="360" w:lineRule="auto"/>
        <w:jc w:val="both"/>
        <w:rPr>
          <w:lang w:val="en-US"/>
        </w:rPr>
      </w:pPr>
      <w:r w:rsidRPr="00243058">
        <w:rPr>
          <w:lang w:val="en-US"/>
        </w:rPr>
        <w:t>Agribusiness: ITC works in the agribusiness space with its e-Choupal project, which facilitates direct market access for farmers.</w:t>
      </w:r>
    </w:p>
    <w:p w:rsidR="00367B4C" w:rsidRPr="00243058" w:rsidRDefault="00367B4C" w:rsidP="00367B4C">
      <w:pPr>
        <w:spacing w:line="360" w:lineRule="auto"/>
        <w:jc w:val="both"/>
        <w:rPr>
          <w:lang w:val="en-US"/>
        </w:rPr>
      </w:pPr>
      <w:r w:rsidRPr="00243058">
        <w:rPr>
          <w:lang w:val="en-US"/>
        </w:rPr>
        <w:t>Information technology (IT) services and solutions are offered by ITC Infotech, a subsidiary of ITC.ITC is a publicly traded business that is listed on the National Stock Exchange of India as well as the Bombay Stock Exchange. With more than 300,000 employees, the firm is a significant employer in India.</w:t>
      </w:r>
    </w:p>
    <w:p w:rsidR="00367B4C" w:rsidRPr="00243058" w:rsidRDefault="00367B4C" w:rsidP="00367B4C">
      <w:pPr>
        <w:spacing w:line="360" w:lineRule="auto"/>
        <w:jc w:val="both"/>
        <w:rPr>
          <w:lang w:val="en-US"/>
        </w:rPr>
      </w:pPr>
      <w:r w:rsidRPr="00243058">
        <w:rPr>
          <w:lang w:val="en-US"/>
        </w:rPr>
        <w:t>ITC has received praise for its environmentally friendly operations and other honors, such as the TERI Corporate Sustainability Award and the CII Green Business Award. ITC has also ratified the UN Global Compact, which upholds sustainable ideals.Via its ITC Foundation, ITC engages in social development projects in addition to its commercial endeavors. The charity works in fields like rural development, healthcare, and education.</w:t>
      </w:r>
    </w:p>
    <w:p w:rsidR="00367B4C" w:rsidRPr="00243058" w:rsidRDefault="00367B4C" w:rsidP="00367B4C">
      <w:pPr>
        <w:spacing w:line="360" w:lineRule="auto"/>
        <w:jc w:val="both"/>
        <w:rPr>
          <w:lang w:val="en-US"/>
        </w:rPr>
      </w:pPr>
    </w:p>
    <w:p w:rsidR="00367B4C" w:rsidRPr="00243058" w:rsidRDefault="00367B4C" w:rsidP="00367B4C">
      <w:pPr>
        <w:pStyle w:val="ListParagraph"/>
        <w:numPr>
          <w:ilvl w:val="0"/>
          <w:numId w:val="11"/>
        </w:numPr>
        <w:spacing w:line="360" w:lineRule="auto"/>
        <w:jc w:val="both"/>
        <w:rPr>
          <w:b/>
          <w:bCs/>
          <w:sz w:val="28"/>
          <w:szCs w:val="28"/>
          <w:lang w:val="en-US"/>
        </w:rPr>
      </w:pPr>
      <w:r w:rsidRPr="00243058">
        <w:rPr>
          <w:b/>
          <w:bCs/>
          <w:sz w:val="28"/>
          <w:szCs w:val="28"/>
          <w:lang w:val="en-US"/>
        </w:rPr>
        <w:t>Colgate-Palmolive (India) Ltd.</w:t>
      </w:r>
    </w:p>
    <w:p w:rsidR="00367B4C" w:rsidRPr="00243058" w:rsidRDefault="00367B4C" w:rsidP="00367B4C">
      <w:pPr>
        <w:spacing w:line="360" w:lineRule="auto"/>
        <w:jc w:val="both"/>
        <w:rPr>
          <w:b/>
          <w:bCs/>
          <w:lang w:val="en-US"/>
        </w:rPr>
      </w:pPr>
      <w:r w:rsidRPr="00243058">
        <w:rPr>
          <w:noProof/>
          <w:lang w:val="en-US" w:bidi="ml-IN"/>
        </w:rPr>
        <w:drawing>
          <wp:anchor distT="0" distB="0" distL="114300" distR="114300" simplePos="0" relativeHeight="251661312" behindDoc="0" locked="0" layoutInCell="1" allowOverlap="1">
            <wp:simplePos x="0" y="0"/>
            <wp:positionH relativeFrom="column">
              <wp:posOffset>1803061</wp:posOffset>
            </wp:positionH>
            <wp:positionV relativeFrom="paragraph">
              <wp:posOffset>157450</wp:posOffset>
            </wp:positionV>
            <wp:extent cx="2186207" cy="1231108"/>
            <wp:effectExtent l="0" t="0" r="0" b="0"/>
            <wp:wrapNone/>
            <wp:docPr id="6" name="Picture 5" descr="Colgate-Palmolive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gate-Palmolive Logo and symbol, meaning, history, PNG, bran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6207" cy="1231108"/>
                    </a:xfrm>
                    <a:prstGeom prst="rect">
                      <a:avLst/>
                    </a:prstGeom>
                    <a:noFill/>
                    <a:ln>
                      <a:noFill/>
                    </a:ln>
                  </pic:spPr>
                </pic:pic>
              </a:graphicData>
            </a:graphic>
          </wp:anchor>
        </w:drawing>
      </w:r>
    </w:p>
    <w:p w:rsidR="00367B4C" w:rsidRPr="00243058" w:rsidRDefault="00367B4C" w:rsidP="00367B4C">
      <w:pPr>
        <w:spacing w:line="360" w:lineRule="auto"/>
        <w:jc w:val="both"/>
        <w:rPr>
          <w:lang w:val="en-US"/>
        </w:rPr>
      </w:pPr>
    </w:p>
    <w:p w:rsidR="00367B4C" w:rsidRPr="00243058" w:rsidRDefault="00367B4C" w:rsidP="00367B4C">
      <w:pPr>
        <w:spacing w:line="360" w:lineRule="auto"/>
        <w:jc w:val="both"/>
        <w:rPr>
          <w:lang w:val="en-US"/>
        </w:rPr>
      </w:pPr>
    </w:p>
    <w:p w:rsidR="00367B4C" w:rsidRDefault="00367B4C" w:rsidP="00367B4C">
      <w:pPr>
        <w:spacing w:line="360" w:lineRule="auto"/>
        <w:jc w:val="both"/>
        <w:rPr>
          <w:lang w:val="en-US"/>
        </w:rPr>
      </w:pPr>
    </w:p>
    <w:p w:rsidR="00367B4C" w:rsidRDefault="00367B4C" w:rsidP="00367B4C">
      <w:pPr>
        <w:spacing w:line="360" w:lineRule="auto"/>
        <w:jc w:val="both"/>
        <w:rPr>
          <w:lang w:val="en-US"/>
        </w:rPr>
      </w:pPr>
      <w:r w:rsidRPr="00243058">
        <w:rPr>
          <w:lang w:val="en-US"/>
        </w:rPr>
        <w:t>The well-known brand in hygiene, Colgate-Palmolive is a global manufacturer of consumer goods with a long history and a wide range of products. Established in 1806 with Colgate and 1865 with Palmolive, they amalgamated in 1928 to emerge as a worldwide superpower. With over 190 nations under their belt, toothpaste companies like Colgate and Elmex are household names in the dental care industry. Beyond just toothbrushes, they also sell soap, shampoo, personal hygiene items, and even pet food under the Palmolive, Hill's Pet Nutrition, and Ajax brands.</w:t>
      </w:r>
    </w:p>
    <w:p w:rsidR="00367B4C" w:rsidRPr="00F24255" w:rsidRDefault="00367B4C" w:rsidP="00367B4C">
      <w:pPr>
        <w:spacing w:line="360" w:lineRule="auto"/>
        <w:jc w:val="both"/>
        <w:rPr>
          <w:lang w:val="en-US"/>
        </w:rPr>
      </w:pPr>
      <w:r w:rsidRPr="00F24255">
        <w:rPr>
          <w:lang w:val="en-US"/>
        </w:rPr>
        <w:lastRenderedPageBreak/>
        <w:t>Colgate-Palmolive constantly innovates, introducing new product formulas and technologies to their portfolio. They were among the first to introduce fluoride-containing toothpaste to the market, and they continue to set the bar for sustainable packaging and green products. Their primary objectives in research and development are to improve overall well-being, hygiene, and dental health.  Colgate-Palmolive is committed to using ethical materials and manufacturing practices in order to lessen their impact on the environment.</w:t>
      </w:r>
    </w:p>
    <w:p w:rsidR="00367B4C" w:rsidRPr="00243058" w:rsidRDefault="00367B4C" w:rsidP="00367B4C">
      <w:pPr>
        <w:spacing w:line="360" w:lineRule="auto"/>
        <w:jc w:val="both"/>
        <w:rPr>
          <w:lang w:val="en-US"/>
        </w:rPr>
      </w:pPr>
      <w:r w:rsidRPr="00F24255">
        <w:rPr>
          <w:lang w:val="en-US"/>
        </w:rPr>
        <w:t>They have set aggressive targets to reduce waste, use less energy and water, and increase the percentage of recycled material in packaging.Their global initiatives are primarily focused on improving oral health in underserved communities, reducing water scarcity, and expanding sustainable methods.</w:t>
      </w:r>
    </w:p>
    <w:p w:rsidR="00367B4C" w:rsidRPr="00243058" w:rsidRDefault="00367B4C" w:rsidP="00367B4C">
      <w:pPr>
        <w:pStyle w:val="ListParagraph"/>
        <w:numPr>
          <w:ilvl w:val="0"/>
          <w:numId w:val="11"/>
        </w:numPr>
        <w:spacing w:line="360" w:lineRule="auto"/>
        <w:jc w:val="both"/>
        <w:rPr>
          <w:b/>
          <w:bCs/>
          <w:sz w:val="28"/>
          <w:szCs w:val="28"/>
          <w:shd w:val="clear" w:color="auto" w:fill="FFFFFF"/>
        </w:rPr>
      </w:pPr>
      <w:r w:rsidRPr="00243058">
        <w:rPr>
          <w:b/>
          <w:bCs/>
          <w:sz w:val="28"/>
          <w:szCs w:val="28"/>
          <w:shd w:val="clear" w:color="auto" w:fill="FFFFFF"/>
        </w:rPr>
        <w:t>Britannia Industries Ltd.</w:t>
      </w:r>
    </w:p>
    <w:p w:rsidR="00367B4C" w:rsidRPr="00243058" w:rsidRDefault="00367B4C" w:rsidP="00367B4C">
      <w:pPr>
        <w:spacing w:line="360" w:lineRule="auto"/>
        <w:jc w:val="both"/>
        <w:rPr>
          <w:b/>
          <w:bCs/>
          <w:shd w:val="clear" w:color="auto" w:fill="FFFFFF"/>
        </w:rPr>
      </w:pPr>
      <w:r w:rsidRPr="00243058">
        <w:rPr>
          <w:noProof/>
          <w:lang w:val="en-US" w:bidi="ml-IN"/>
        </w:rPr>
        <w:drawing>
          <wp:anchor distT="0" distB="0" distL="114300" distR="114300" simplePos="0" relativeHeight="251662336" behindDoc="0" locked="0" layoutInCell="1" allowOverlap="1">
            <wp:simplePos x="0" y="0"/>
            <wp:positionH relativeFrom="column">
              <wp:posOffset>1717705</wp:posOffset>
            </wp:positionH>
            <wp:positionV relativeFrom="paragraph">
              <wp:posOffset>79851</wp:posOffset>
            </wp:positionV>
            <wp:extent cx="2336960" cy="847524"/>
            <wp:effectExtent l="0" t="0" r="0" b="0"/>
            <wp:wrapNone/>
            <wp:docPr id="8" name="Picture 7" descr="Britannia Indust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tannia Industries - Wikipedia"/>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48" cy="849768"/>
                    </a:xfrm>
                    <a:prstGeom prst="rect">
                      <a:avLst/>
                    </a:prstGeom>
                    <a:noFill/>
                    <a:ln>
                      <a:noFill/>
                    </a:ln>
                  </pic:spPr>
                </pic:pic>
              </a:graphicData>
            </a:graphic>
          </wp:anchor>
        </w:drawing>
      </w:r>
    </w:p>
    <w:p w:rsidR="00367B4C" w:rsidRPr="00243058" w:rsidRDefault="00367B4C" w:rsidP="00367B4C">
      <w:pPr>
        <w:spacing w:line="360" w:lineRule="auto"/>
        <w:jc w:val="both"/>
      </w:pPr>
    </w:p>
    <w:p w:rsidR="00367B4C" w:rsidRPr="00243058" w:rsidRDefault="00367B4C" w:rsidP="00367B4C">
      <w:pPr>
        <w:spacing w:line="360" w:lineRule="auto"/>
        <w:jc w:val="both"/>
        <w:rPr>
          <w:b/>
          <w:bCs/>
          <w:shd w:val="clear" w:color="auto" w:fill="FFFFFF"/>
        </w:rPr>
      </w:pPr>
    </w:p>
    <w:p w:rsidR="00367B4C" w:rsidRPr="00243058" w:rsidRDefault="00367B4C" w:rsidP="00367B4C">
      <w:pPr>
        <w:spacing w:line="360" w:lineRule="auto"/>
        <w:jc w:val="both"/>
      </w:pPr>
      <w:r w:rsidRPr="00243058">
        <w:t>Britannia, a multinational food business with a rich past and a modern attitude, is famous in India with exquisite biscuits and snacks. Here's a brief overview of its universeBritannia was established in 1892 and has almost a century of experience in creating delicious confections. They are most recognized for their beloved biscuit brands, which have left a lasting impression on generations' stomachs and hearts: Good Day, Marie Gold, and Tiger.</w:t>
      </w:r>
    </w:p>
    <w:p w:rsidR="00367B4C" w:rsidRPr="00243058" w:rsidRDefault="00367B4C" w:rsidP="00367B4C">
      <w:pPr>
        <w:spacing w:line="360" w:lineRule="auto"/>
        <w:jc w:val="both"/>
      </w:pPr>
      <w:r w:rsidRPr="00243058">
        <w:t>However, Britannia has expanded its product line to include cakes, breads, dairy goods, and even nutritious snack alternatives under the Little Hearts and NutriChoice brands.Despite having its roots in India, Britannia now spans more than 80 nations.  They've modified their menu to satisfy a range of tastes while keeping the core of their tried-and-true recipes.Their dedication to quality and innovation enables them to maintain their lead, even in highly competitive global marketplaces. Throughout their whole value chain, Britannia places a strong emphasis on sustainable processes and ethical sourcing.  They have set high standards for cutting waste production, water use, and carbon footprint.Beyond their own business, they are involved in community development and farmer empowerment via the e-Choupal program.</w:t>
      </w:r>
    </w:p>
    <w:p w:rsidR="00367B4C" w:rsidRPr="00243058" w:rsidRDefault="00367B4C" w:rsidP="00367B4C">
      <w:pPr>
        <w:spacing w:line="360" w:lineRule="auto"/>
        <w:jc w:val="both"/>
      </w:pPr>
      <w:r w:rsidRPr="00243058">
        <w:lastRenderedPageBreak/>
        <w:t>Britannia employs around 30,000 people in India in a variety of roles, making them a significant employer. They place a high priority on worker well-being and promote an inclusive and varied work place. Their dedication to social responsibility is demonstrated by the numerous programs they have created to promote rural development, healthcare, and education.</w:t>
      </w:r>
    </w:p>
    <w:p w:rsidR="00367B4C" w:rsidRDefault="00367B4C" w:rsidP="00367B4C">
      <w:pPr>
        <w:spacing w:line="360" w:lineRule="auto"/>
        <w:jc w:val="both"/>
      </w:pPr>
      <w:r w:rsidRPr="00243058">
        <w:t>Britannia is more than just a biscuit firm, to put it briefly. Their success in the food sector has made them a global leader, driven by innovation, flavour, sustainability, and a sense of belonging.</w:t>
      </w:r>
    </w:p>
    <w:p w:rsidR="00367B4C" w:rsidRPr="00243058" w:rsidRDefault="00367B4C" w:rsidP="00367B4C">
      <w:pPr>
        <w:spacing w:line="360" w:lineRule="auto"/>
        <w:jc w:val="both"/>
      </w:pPr>
    </w:p>
    <w:p w:rsidR="00367B4C" w:rsidRPr="00243058" w:rsidRDefault="00367B4C" w:rsidP="00367B4C">
      <w:pPr>
        <w:pStyle w:val="ListParagraph"/>
        <w:numPr>
          <w:ilvl w:val="0"/>
          <w:numId w:val="11"/>
        </w:numPr>
        <w:spacing w:line="360" w:lineRule="auto"/>
        <w:jc w:val="both"/>
        <w:rPr>
          <w:b/>
          <w:bCs/>
          <w:sz w:val="28"/>
          <w:szCs w:val="28"/>
        </w:rPr>
      </w:pPr>
      <w:r w:rsidRPr="00243058">
        <w:rPr>
          <w:noProof/>
          <w:sz w:val="28"/>
          <w:szCs w:val="28"/>
          <w:lang w:val="en-US" w:bidi="ml-IN"/>
        </w:rPr>
        <w:drawing>
          <wp:anchor distT="0" distB="0" distL="114300" distR="114300" simplePos="0" relativeHeight="251663360" behindDoc="0" locked="0" layoutInCell="1" allowOverlap="1">
            <wp:simplePos x="0" y="0"/>
            <wp:positionH relativeFrom="column">
              <wp:posOffset>1412798</wp:posOffset>
            </wp:positionH>
            <wp:positionV relativeFrom="paragraph">
              <wp:posOffset>252279</wp:posOffset>
            </wp:positionV>
            <wp:extent cx="2486826" cy="1657884"/>
            <wp:effectExtent l="0" t="0" r="0" b="0"/>
            <wp:wrapNone/>
            <wp:docPr id="10" name="Picture 9" descr="Download Dabur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Dabur Logo in SVG Vector or PNG File Format - Logo.win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3145" cy="1662096"/>
                    </a:xfrm>
                    <a:prstGeom prst="rect">
                      <a:avLst/>
                    </a:prstGeom>
                    <a:noFill/>
                    <a:ln>
                      <a:noFill/>
                    </a:ln>
                  </pic:spPr>
                </pic:pic>
              </a:graphicData>
            </a:graphic>
          </wp:anchor>
        </w:drawing>
      </w:r>
      <w:r w:rsidRPr="00243058">
        <w:rPr>
          <w:b/>
          <w:bCs/>
          <w:sz w:val="28"/>
          <w:szCs w:val="28"/>
        </w:rPr>
        <w:t>Dabur India Ltd.</w:t>
      </w:r>
    </w:p>
    <w:p w:rsidR="00367B4C" w:rsidRPr="00243058" w:rsidRDefault="00367B4C" w:rsidP="00367B4C">
      <w:pPr>
        <w:spacing w:line="360" w:lineRule="auto"/>
        <w:jc w:val="both"/>
        <w:rPr>
          <w:b/>
          <w:bCs/>
        </w:rPr>
      </w:pPr>
    </w:p>
    <w:p w:rsidR="00367B4C" w:rsidRPr="00243058" w:rsidRDefault="00367B4C" w:rsidP="00367B4C">
      <w:pPr>
        <w:spacing w:line="360" w:lineRule="auto"/>
        <w:jc w:val="both"/>
      </w:pPr>
    </w:p>
    <w:p w:rsidR="00367B4C" w:rsidRPr="00243058" w:rsidRDefault="00367B4C" w:rsidP="00367B4C">
      <w:pPr>
        <w:spacing w:line="360" w:lineRule="auto"/>
        <w:jc w:val="both"/>
      </w:pPr>
    </w:p>
    <w:p w:rsidR="00367B4C" w:rsidRPr="00243058" w:rsidRDefault="00367B4C" w:rsidP="00367B4C">
      <w:pPr>
        <w:spacing w:line="360" w:lineRule="auto"/>
        <w:jc w:val="both"/>
        <w:rPr>
          <w:b/>
          <w:bCs/>
        </w:rPr>
      </w:pPr>
    </w:p>
    <w:p w:rsidR="00367B4C" w:rsidRPr="00243058" w:rsidRDefault="00367B4C" w:rsidP="00367B4C">
      <w:pPr>
        <w:spacing w:line="360" w:lineRule="auto"/>
        <w:jc w:val="both"/>
      </w:pPr>
      <w:r w:rsidRPr="00243058">
        <w:t>Renowned for its association with Ayurveda and holistic health, Dabur is a prominent Indian multinational consumer goods enterprise with a global presence. Here's a brief synopsis:</w:t>
      </w:r>
    </w:p>
    <w:p w:rsidR="00367B4C" w:rsidRPr="00243058" w:rsidRDefault="00367B4C" w:rsidP="00367B4C">
      <w:pPr>
        <w:spacing w:line="360" w:lineRule="auto"/>
        <w:jc w:val="both"/>
      </w:pPr>
      <w:r w:rsidRPr="00243058">
        <w:t>As the largest Ayurvedic and Natural Health Care Company in the world, Dabur was founded in 1884 by Dr. S.K. Burman, an Ayurvedic practitioner.They provide more than 250 herbal and Ayurvedic items for skincare, hair care, dental care, healthcare, home care, and even food and drink.In India, products from well-known brands like Dabur Chyawanprash, Dabur Amla, and Dabur Honey are regarded for their natural cures and health advantages.</w:t>
      </w:r>
    </w:p>
    <w:p w:rsidR="00367B4C" w:rsidRPr="00243058" w:rsidRDefault="00367B4C" w:rsidP="00367B4C">
      <w:pPr>
        <w:spacing w:line="360" w:lineRule="auto"/>
        <w:jc w:val="both"/>
      </w:pPr>
      <w:r w:rsidRPr="00243058">
        <w:t>Dabur has deliberately expanded into many FMCG sectors, even if Ayurveda remains its primary focus.Prominent brands that they own include Hajmola digestion pills, Real fruit drinks, and Vatika hair care.By adhering to their natural history, Dabur is able to remain relevant to contemporary consumers. Dabur products are sold in more than 120 countries, with the Middle East, the SAARC nations, Africa, and Europe being the main markets for them. They have kept the effectiveness and quality of their products while tailoring their offers to suit regional tastes.</w:t>
      </w:r>
    </w:p>
    <w:p w:rsidR="00367B4C" w:rsidRPr="00243058" w:rsidRDefault="00367B4C" w:rsidP="00367B4C">
      <w:pPr>
        <w:spacing w:line="360" w:lineRule="auto"/>
        <w:jc w:val="both"/>
      </w:pPr>
      <w:r w:rsidRPr="00243058">
        <w:lastRenderedPageBreak/>
        <w:t>From sourcing ingredients to packaging and waste management, Dabur places a high priority on sustainable practices across its entire operations.They fund efforts for environmentally friendly packaging and sustainable agriculture.Their dedication to ethical business practices has brought them numerous honors and recognitions.</w:t>
      </w:r>
    </w:p>
    <w:p w:rsidR="00367B4C" w:rsidRPr="00243058" w:rsidRDefault="00367B4C" w:rsidP="00367B4C">
      <w:pPr>
        <w:spacing w:line="360" w:lineRule="auto"/>
        <w:jc w:val="both"/>
      </w:pPr>
      <w:r w:rsidRPr="00243058">
        <w:t>Dabur is a proponent of community giving. They oversee numerous programs in the fields of healthcare, education, and rural development. The goals of their Dabur CSR Foundation are to better lives and empower communities. Dabur is essentially a corporation that does more than just sell consumer items. They are a leader in the natural wellness industry worldwide, committed to advancing social responsibility, sustainability, and health.</w:t>
      </w:r>
    </w:p>
    <w:p w:rsidR="00367B4C" w:rsidRPr="00243058" w:rsidRDefault="00367B4C" w:rsidP="00367B4C">
      <w:pPr>
        <w:spacing w:line="360" w:lineRule="auto"/>
        <w:jc w:val="both"/>
      </w:pPr>
    </w:p>
    <w:p w:rsidR="00367B4C" w:rsidRPr="00243058" w:rsidRDefault="00367B4C" w:rsidP="00367B4C">
      <w:pPr>
        <w:pStyle w:val="ListParagraph"/>
        <w:numPr>
          <w:ilvl w:val="1"/>
          <w:numId w:val="19"/>
        </w:numPr>
        <w:spacing w:line="360" w:lineRule="auto"/>
        <w:jc w:val="both"/>
        <w:rPr>
          <w:b/>
          <w:bCs/>
          <w:sz w:val="28"/>
          <w:szCs w:val="28"/>
        </w:rPr>
      </w:pPr>
      <w:r w:rsidRPr="00243058">
        <w:rPr>
          <w:b/>
          <w:bCs/>
          <w:sz w:val="28"/>
          <w:szCs w:val="28"/>
        </w:rPr>
        <w:t>Quarterly results</w:t>
      </w:r>
    </w:p>
    <w:p w:rsidR="00367B4C" w:rsidRPr="00243058" w:rsidRDefault="00367B4C" w:rsidP="00367B4C">
      <w:pPr>
        <w:spacing w:line="360" w:lineRule="auto"/>
        <w:ind w:left="432"/>
        <w:jc w:val="both"/>
      </w:pPr>
      <w:r w:rsidRPr="00243058">
        <w:t>A company's financial performance is disclosed every three months and is referred to as quarterly results. Key financial statements like the income statement, balance sheet, and cash flow statement are usually summarized in these reports, which are usually not audited. Offering a window into the company's recent performance, they give investors and other stakeholders information about:</w:t>
      </w:r>
    </w:p>
    <w:p w:rsidR="00367B4C" w:rsidRPr="00243058" w:rsidRDefault="00367B4C" w:rsidP="00367B4C">
      <w:pPr>
        <w:pStyle w:val="ListParagraph"/>
        <w:numPr>
          <w:ilvl w:val="0"/>
          <w:numId w:val="13"/>
        </w:numPr>
        <w:spacing w:line="360" w:lineRule="auto"/>
        <w:jc w:val="both"/>
      </w:pPr>
      <w:r w:rsidRPr="00243058">
        <w:t>Earnings and revenue: Did the business reach or surpass targets?</w:t>
      </w:r>
    </w:p>
    <w:p w:rsidR="00367B4C" w:rsidRPr="00243058" w:rsidRDefault="00367B4C" w:rsidP="00367B4C">
      <w:pPr>
        <w:pStyle w:val="ListParagraph"/>
        <w:numPr>
          <w:ilvl w:val="0"/>
          <w:numId w:val="13"/>
        </w:numPr>
        <w:spacing w:line="360" w:lineRule="auto"/>
        <w:jc w:val="both"/>
      </w:pPr>
      <w:r w:rsidRPr="00243058">
        <w:t>Effective cost management is a key component of operational efficiency.</w:t>
      </w:r>
    </w:p>
    <w:p w:rsidR="00367B4C" w:rsidRPr="00243058" w:rsidRDefault="00367B4C" w:rsidP="00367B4C">
      <w:pPr>
        <w:pStyle w:val="ListParagraph"/>
        <w:numPr>
          <w:ilvl w:val="0"/>
          <w:numId w:val="13"/>
        </w:numPr>
        <w:spacing w:line="360" w:lineRule="auto"/>
        <w:jc w:val="both"/>
      </w:pPr>
      <w:r w:rsidRPr="00243058">
        <w:t>Development potential: Is the business introducing new goods or increasing its market share?</w:t>
      </w:r>
    </w:p>
    <w:p w:rsidR="00367B4C" w:rsidRPr="00243058" w:rsidRDefault="00367B4C" w:rsidP="00367B4C">
      <w:pPr>
        <w:pStyle w:val="ListParagraph"/>
        <w:numPr>
          <w:ilvl w:val="0"/>
          <w:numId w:val="13"/>
        </w:numPr>
        <w:spacing w:line="360" w:lineRule="auto"/>
        <w:jc w:val="both"/>
      </w:pPr>
      <w:r w:rsidRPr="00243058">
        <w:t>Financial stability: Can the business pay its debts with enough cash flow?</w:t>
      </w:r>
    </w:p>
    <w:p w:rsidR="00367B4C" w:rsidRPr="00243058" w:rsidRDefault="00367B4C" w:rsidP="00367B4C">
      <w:pPr>
        <w:pStyle w:val="ListParagraph"/>
        <w:spacing w:line="360" w:lineRule="auto"/>
        <w:ind w:left="1152"/>
        <w:jc w:val="both"/>
      </w:pPr>
    </w:p>
    <w:p w:rsidR="00367B4C" w:rsidRPr="00243058" w:rsidRDefault="00367B4C" w:rsidP="00367B4C">
      <w:pPr>
        <w:pStyle w:val="ListParagraph"/>
        <w:numPr>
          <w:ilvl w:val="2"/>
          <w:numId w:val="19"/>
        </w:numPr>
        <w:spacing w:line="360" w:lineRule="auto"/>
        <w:jc w:val="both"/>
        <w:rPr>
          <w:b/>
          <w:bCs/>
          <w:sz w:val="28"/>
          <w:szCs w:val="28"/>
        </w:rPr>
      </w:pPr>
      <w:r w:rsidRPr="00243058">
        <w:rPr>
          <w:b/>
          <w:bCs/>
          <w:sz w:val="28"/>
          <w:szCs w:val="28"/>
        </w:rPr>
        <w:t>Impact of Quarterly Results</w:t>
      </w:r>
    </w:p>
    <w:p w:rsidR="00367B4C" w:rsidRPr="00243058" w:rsidRDefault="00367B4C" w:rsidP="00367B4C">
      <w:pPr>
        <w:spacing w:line="360" w:lineRule="auto"/>
        <w:jc w:val="both"/>
      </w:pPr>
      <w:r w:rsidRPr="00243058">
        <w:t>Quarterly results can have far-reaching and complex effects on a variety of stakeholders and the financial landscape.</w:t>
      </w:r>
    </w:p>
    <w:p w:rsidR="00367B4C" w:rsidRDefault="00367B4C" w:rsidP="00367B4C">
      <w:pPr>
        <w:pStyle w:val="ListParagraph"/>
        <w:numPr>
          <w:ilvl w:val="0"/>
          <w:numId w:val="14"/>
        </w:numPr>
        <w:spacing w:line="360" w:lineRule="auto"/>
        <w:jc w:val="both"/>
      </w:pPr>
      <w:r w:rsidRPr="00243058">
        <w:t>Public perception: A company's reputation can be improved by achieving success, drawing in new clients and investors. On the other hand, unsatisfactory outcomes can undermine investor confidence and public image, which may make it harder to raise money or draw in talent.</w:t>
      </w:r>
    </w:p>
    <w:p w:rsidR="00367B4C" w:rsidRDefault="00367B4C" w:rsidP="00367B4C">
      <w:pPr>
        <w:pStyle w:val="ListParagraph"/>
        <w:spacing w:line="360" w:lineRule="auto"/>
        <w:jc w:val="both"/>
      </w:pPr>
    </w:p>
    <w:p w:rsidR="00367B4C" w:rsidRDefault="00367B4C" w:rsidP="00367B4C">
      <w:pPr>
        <w:pStyle w:val="ListParagraph"/>
        <w:numPr>
          <w:ilvl w:val="0"/>
          <w:numId w:val="14"/>
        </w:numPr>
        <w:spacing w:line="360" w:lineRule="auto"/>
        <w:jc w:val="both"/>
      </w:pPr>
      <w:r w:rsidRPr="00243058">
        <w:t>Internal morale: Good outcomes can inspire more success and raise staff morale. Poor outcomes might cause fear, doubt, and even possible budget cuts.</w:t>
      </w:r>
    </w:p>
    <w:p w:rsidR="00367B4C" w:rsidRDefault="00367B4C" w:rsidP="00367B4C">
      <w:pPr>
        <w:pStyle w:val="ListParagraph"/>
        <w:jc w:val="both"/>
      </w:pPr>
    </w:p>
    <w:p w:rsidR="00367B4C" w:rsidRPr="00243058" w:rsidRDefault="00367B4C" w:rsidP="00367B4C">
      <w:pPr>
        <w:pStyle w:val="ListParagraph"/>
        <w:numPr>
          <w:ilvl w:val="0"/>
          <w:numId w:val="14"/>
        </w:numPr>
        <w:spacing w:line="360" w:lineRule="auto"/>
        <w:jc w:val="both"/>
      </w:pPr>
      <w:r w:rsidRPr="00243058">
        <w:t>Strategic adjustments: By analyzing quarterly outcomes, businesses can pinpoint their strengths and weaknesses, which helps them make informed strategic choices and changes to their company strategies.</w:t>
      </w:r>
    </w:p>
    <w:p w:rsidR="00367B4C" w:rsidRPr="00243058" w:rsidRDefault="00367B4C" w:rsidP="00367B4C">
      <w:pPr>
        <w:spacing w:line="360" w:lineRule="auto"/>
        <w:jc w:val="both"/>
      </w:pPr>
    </w:p>
    <w:p w:rsidR="00367B4C" w:rsidRPr="00243058" w:rsidRDefault="00367B4C" w:rsidP="00367B4C">
      <w:pPr>
        <w:pStyle w:val="ListParagraph"/>
        <w:numPr>
          <w:ilvl w:val="2"/>
          <w:numId w:val="19"/>
        </w:numPr>
        <w:spacing w:line="360" w:lineRule="auto"/>
        <w:jc w:val="both"/>
        <w:rPr>
          <w:b/>
          <w:bCs/>
          <w:sz w:val="28"/>
          <w:szCs w:val="28"/>
        </w:rPr>
      </w:pPr>
      <w:r w:rsidRPr="00243058">
        <w:rPr>
          <w:b/>
          <w:bCs/>
          <w:sz w:val="28"/>
          <w:szCs w:val="28"/>
        </w:rPr>
        <w:t>Advantages of Quarterly results</w:t>
      </w:r>
    </w:p>
    <w:p w:rsidR="00367B4C" w:rsidRPr="00243058" w:rsidRDefault="00367B4C" w:rsidP="00367B4C">
      <w:pPr>
        <w:pStyle w:val="ListParagraph"/>
        <w:spacing w:line="360" w:lineRule="auto"/>
        <w:ind w:left="1152"/>
        <w:jc w:val="both"/>
        <w:rPr>
          <w:b/>
          <w:bCs/>
        </w:rPr>
      </w:pPr>
    </w:p>
    <w:p w:rsidR="00367B4C" w:rsidRDefault="00367B4C" w:rsidP="00367B4C">
      <w:pPr>
        <w:pStyle w:val="ListParagraph"/>
        <w:numPr>
          <w:ilvl w:val="0"/>
          <w:numId w:val="15"/>
        </w:numPr>
        <w:spacing w:line="360" w:lineRule="auto"/>
        <w:jc w:val="both"/>
      </w:pPr>
      <w:r w:rsidRPr="00243058">
        <w:t>Enhanced Accountability and Transparency: Regularly updates stakeholders on the financial condition of the organization, encouraging accountability.</w:t>
      </w:r>
    </w:p>
    <w:p w:rsidR="00367B4C" w:rsidRDefault="00367B4C" w:rsidP="00367B4C">
      <w:pPr>
        <w:pStyle w:val="ListParagraph"/>
        <w:spacing w:line="360" w:lineRule="auto"/>
        <w:ind w:left="1152"/>
        <w:jc w:val="both"/>
      </w:pPr>
    </w:p>
    <w:p w:rsidR="00367B4C" w:rsidRDefault="00367B4C" w:rsidP="00367B4C">
      <w:pPr>
        <w:pStyle w:val="ListParagraph"/>
        <w:numPr>
          <w:ilvl w:val="0"/>
          <w:numId w:val="15"/>
        </w:numPr>
        <w:spacing w:line="360" w:lineRule="auto"/>
        <w:jc w:val="both"/>
      </w:pPr>
      <w:r w:rsidRPr="00243058">
        <w:t>Enhanced Decision-Making: By considering past performance as well as potential future returns, investors can make well-informed investment selections. Businesses are able to assess their progress and modify their plans as necessary.</w:t>
      </w:r>
    </w:p>
    <w:p w:rsidR="00367B4C" w:rsidRDefault="00367B4C" w:rsidP="00367B4C">
      <w:pPr>
        <w:pStyle w:val="ListParagraph"/>
        <w:spacing w:line="360" w:lineRule="auto"/>
        <w:ind w:left="1152"/>
        <w:jc w:val="both"/>
      </w:pPr>
    </w:p>
    <w:p w:rsidR="00367B4C" w:rsidRDefault="00367B4C" w:rsidP="00367B4C">
      <w:pPr>
        <w:pStyle w:val="ListParagraph"/>
        <w:numPr>
          <w:ilvl w:val="0"/>
          <w:numId w:val="15"/>
        </w:numPr>
        <w:spacing w:line="360" w:lineRule="auto"/>
        <w:jc w:val="both"/>
      </w:pPr>
      <w:r w:rsidRPr="00243058">
        <w:t>Early Issue Identification: By identifying potential problems or opportunities early on, corrective action or strategic changes can be implemented more quickly.</w:t>
      </w:r>
    </w:p>
    <w:p w:rsidR="00367B4C" w:rsidRDefault="00367B4C" w:rsidP="00367B4C">
      <w:pPr>
        <w:pStyle w:val="ListParagraph"/>
        <w:spacing w:line="360" w:lineRule="auto"/>
        <w:jc w:val="both"/>
      </w:pPr>
    </w:p>
    <w:p w:rsidR="00367B4C" w:rsidRPr="00243058" w:rsidRDefault="00367B4C" w:rsidP="00367B4C">
      <w:pPr>
        <w:pStyle w:val="ListParagraph"/>
        <w:spacing w:line="360" w:lineRule="auto"/>
        <w:ind w:left="1152"/>
        <w:jc w:val="both"/>
      </w:pPr>
    </w:p>
    <w:p w:rsidR="00367B4C" w:rsidRPr="00EF1FE3" w:rsidRDefault="00367B4C" w:rsidP="00367B4C">
      <w:pPr>
        <w:pStyle w:val="ListParagraph"/>
        <w:numPr>
          <w:ilvl w:val="2"/>
          <w:numId w:val="19"/>
        </w:numPr>
        <w:spacing w:line="360" w:lineRule="auto"/>
        <w:jc w:val="both"/>
        <w:rPr>
          <w:b/>
          <w:bCs/>
          <w:sz w:val="28"/>
          <w:szCs w:val="28"/>
        </w:rPr>
      </w:pPr>
      <w:r w:rsidRPr="00EF1FE3">
        <w:rPr>
          <w:b/>
          <w:bCs/>
          <w:sz w:val="28"/>
          <w:szCs w:val="28"/>
        </w:rPr>
        <w:t>Disadvantages of quarterly results</w:t>
      </w:r>
    </w:p>
    <w:p w:rsidR="00367B4C" w:rsidRPr="00243058" w:rsidRDefault="00367B4C" w:rsidP="00367B4C">
      <w:pPr>
        <w:pStyle w:val="ListParagraph"/>
        <w:spacing w:line="360" w:lineRule="auto"/>
        <w:ind w:left="1152"/>
        <w:jc w:val="both"/>
        <w:rPr>
          <w:b/>
          <w:bCs/>
        </w:rPr>
      </w:pPr>
    </w:p>
    <w:p w:rsidR="00367B4C" w:rsidRPr="00243058" w:rsidRDefault="00367B4C" w:rsidP="00367B4C">
      <w:pPr>
        <w:pStyle w:val="ListParagraph"/>
        <w:numPr>
          <w:ilvl w:val="0"/>
          <w:numId w:val="16"/>
        </w:numPr>
        <w:spacing w:line="360" w:lineRule="auto"/>
        <w:jc w:val="both"/>
      </w:pPr>
      <w:r w:rsidRPr="00243058">
        <w:t>Short-termism: Promotes prioritizing short-term returns (fulfilling quarterly goals) over long-term planning and strategic investments. This may inhibit growth that is sustainable and innovative.</w:t>
      </w:r>
    </w:p>
    <w:p w:rsidR="00367B4C" w:rsidRPr="00243058" w:rsidRDefault="00367B4C" w:rsidP="00367B4C">
      <w:pPr>
        <w:pStyle w:val="ListParagraph"/>
        <w:spacing w:line="360" w:lineRule="auto"/>
        <w:jc w:val="both"/>
      </w:pPr>
    </w:p>
    <w:p w:rsidR="00367B4C" w:rsidRDefault="00367B4C" w:rsidP="00367B4C">
      <w:pPr>
        <w:pStyle w:val="ListParagraph"/>
        <w:numPr>
          <w:ilvl w:val="0"/>
          <w:numId w:val="16"/>
        </w:numPr>
        <w:spacing w:line="360" w:lineRule="auto"/>
        <w:jc w:val="both"/>
      </w:pPr>
      <w:r w:rsidRPr="00243058">
        <w:t>Market Volatility: Increased market volatility can undermine investor confidence and undermine economic stability. This is true for both positive and negative earnings surprises.</w:t>
      </w:r>
    </w:p>
    <w:p w:rsidR="00367B4C" w:rsidRDefault="00367B4C" w:rsidP="00367B4C">
      <w:pPr>
        <w:pStyle w:val="ListParagraph"/>
        <w:jc w:val="both"/>
      </w:pPr>
    </w:p>
    <w:p w:rsidR="00367B4C" w:rsidRPr="00243058" w:rsidRDefault="00367B4C" w:rsidP="00367B4C">
      <w:pPr>
        <w:pStyle w:val="ListParagraph"/>
        <w:numPr>
          <w:ilvl w:val="0"/>
          <w:numId w:val="16"/>
        </w:numPr>
        <w:spacing w:line="360" w:lineRule="auto"/>
        <w:jc w:val="both"/>
      </w:pPr>
      <w:r w:rsidRPr="00243058">
        <w:lastRenderedPageBreak/>
        <w:t>Manipulation of results: Companies may engage in unethical accounting methods or manipulate results as a means of meeting expectations.</w:t>
      </w:r>
    </w:p>
    <w:p w:rsidR="00367B4C" w:rsidRPr="00243058" w:rsidRDefault="00367B4C" w:rsidP="00367B4C">
      <w:pPr>
        <w:spacing w:line="360" w:lineRule="auto"/>
        <w:jc w:val="both"/>
      </w:pPr>
    </w:p>
    <w:p w:rsidR="00367B4C" w:rsidRPr="00EF1FE3" w:rsidRDefault="00367B4C" w:rsidP="00367B4C">
      <w:pPr>
        <w:pStyle w:val="ListParagraph"/>
        <w:numPr>
          <w:ilvl w:val="1"/>
          <w:numId w:val="19"/>
        </w:numPr>
        <w:spacing w:line="360" w:lineRule="auto"/>
        <w:jc w:val="both"/>
        <w:rPr>
          <w:b/>
          <w:bCs/>
          <w:sz w:val="28"/>
          <w:szCs w:val="28"/>
        </w:rPr>
      </w:pPr>
      <w:r w:rsidRPr="00EF1FE3">
        <w:rPr>
          <w:b/>
          <w:bCs/>
          <w:sz w:val="28"/>
          <w:szCs w:val="28"/>
        </w:rPr>
        <w:t>Share Price</w:t>
      </w:r>
    </w:p>
    <w:p w:rsidR="00367B4C" w:rsidRPr="00243058" w:rsidRDefault="00367B4C" w:rsidP="00367B4C">
      <w:pPr>
        <w:spacing w:line="360" w:lineRule="auto"/>
        <w:jc w:val="both"/>
      </w:pPr>
      <w:r w:rsidRPr="00243058">
        <w:t>The price paid to purchase a single "share" or portion of ownership in a publicly listed corporation is called the share price, sometimes referred to as the stock price. It's similar to the price tag on one tasty cake piece standing in for the entire business. Due to supply and demand, this price varies continuously throughout the day. Comparable to an auction, the price may increase if a large number of individuals desire a slice, but it may decrease if none do. A corporation's price is a dynamic and frequently unpredictable indicator of its health and future prospects, as it can be influenced by factors such as economic trends, stellar company performance, or intriguing news.</w:t>
      </w:r>
    </w:p>
    <w:p w:rsidR="00367B4C" w:rsidRPr="00243058" w:rsidRDefault="00367B4C" w:rsidP="00367B4C">
      <w:pPr>
        <w:spacing w:line="360" w:lineRule="auto"/>
        <w:ind w:left="432"/>
        <w:jc w:val="both"/>
      </w:pPr>
    </w:p>
    <w:p w:rsidR="00367B4C" w:rsidRPr="00294E30" w:rsidRDefault="00367B4C" w:rsidP="00367B4C">
      <w:pPr>
        <w:pStyle w:val="ListParagraph"/>
        <w:numPr>
          <w:ilvl w:val="2"/>
          <w:numId w:val="19"/>
        </w:numPr>
        <w:spacing w:line="360" w:lineRule="auto"/>
        <w:jc w:val="both"/>
        <w:rPr>
          <w:b/>
          <w:bCs/>
          <w:sz w:val="28"/>
          <w:szCs w:val="28"/>
        </w:rPr>
      </w:pPr>
      <w:r w:rsidRPr="00EF1FE3">
        <w:rPr>
          <w:b/>
          <w:bCs/>
          <w:sz w:val="28"/>
          <w:szCs w:val="28"/>
        </w:rPr>
        <w:t>Factors that affect the change in share price</w:t>
      </w:r>
    </w:p>
    <w:p w:rsidR="00367B4C" w:rsidRPr="004876EF" w:rsidRDefault="00367B4C" w:rsidP="00367B4C">
      <w:pPr>
        <w:pStyle w:val="ListParagraph"/>
        <w:numPr>
          <w:ilvl w:val="0"/>
          <w:numId w:val="20"/>
        </w:numPr>
        <w:spacing w:line="360" w:lineRule="auto"/>
        <w:jc w:val="both"/>
        <w:rPr>
          <w:b/>
          <w:bCs/>
          <w:sz w:val="28"/>
          <w:szCs w:val="28"/>
        </w:rPr>
      </w:pPr>
      <w:r w:rsidRPr="004876EF">
        <w:rPr>
          <w:b/>
          <w:bCs/>
        </w:rPr>
        <w:t>Financial performance:</w:t>
      </w:r>
      <w:r w:rsidRPr="00243058">
        <w:t xml:space="preserve"> Profitable quarters, steady sales growth, and strong earnings draw in investors and drive up prices. On the other hand, sell-offs and price decreases may be brought on by poor performance, losses, or unmet expectations.</w:t>
      </w:r>
    </w:p>
    <w:p w:rsidR="00367B4C" w:rsidRPr="004876EF" w:rsidRDefault="00367B4C" w:rsidP="00367B4C">
      <w:pPr>
        <w:pStyle w:val="ListParagraph"/>
        <w:numPr>
          <w:ilvl w:val="0"/>
          <w:numId w:val="20"/>
        </w:numPr>
        <w:spacing w:line="360" w:lineRule="auto"/>
        <w:jc w:val="both"/>
        <w:rPr>
          <w:b/>
          <w:bCs/>
          <w:sz w:val="28"/>
          <w:szCs w:val="28"/>
        </w:rPr>
      </w:pPr>
      <w:r w:rsidRPr="004876EF">
        <w:rPr>
          <w:b/>
          <w:bCs/>
        </w:rPr>
        <w:t>Management announcements:</w:t>
      </w:r>
      <w:r w:rsidRPr="00243058">
        <w:t xml:space="preserve"> Price hikes may result from boosting investor confidence through the introduction of new products, profitable transactions, strategic alliances, or optimistic projections. Unfavourable press such as product recalls, scandals, or changes in leadership might have the opposite impact. </w:t>
      </w:r>
    </w:p>
    <w:p w:rsidR="00367B4C" w:rsidRPr="004876EF" w:rsidRDefault="00367B4C" w:rsidP="00367B4C">
      <w:pPr>
        <w:pStyle w:val="ListParagraph"/>
        <w:numPr>
          <w:ilvl w:val="0"/>
          <w:numId w:val="20"/>
        </w:numPr>
        <w:spacing w:line="360" w:lineRule="auto"/>
        <w:jc w:val="both"/>
        <w:rPr>
          <w:b/>
          <w:bCs/>
          <w:sz w:val="28"/>
          <w:szCs w:val="28"/>
        </w:rPr>
      </w:pPr>
      <w:r w:rsidRPr="004876EF">
        <w:rPr>
          <w:b/>
          <w:bCs/>
        </w:rPr>
        <w:t>Dividend policy:</w:t>
      </w:r>
      <w:r w:rsidRPr="00243058">
        <w:t xml:space="preserve"> Businesses that pay out dividends to shareholders, or a percentage of their profits, might draw in income-seeking capitalists and raise the price of their shares. Price changes may also result from adjustments to the dividend policy, with reductions frequently causing drops.</w:t>
      </w:r>
    </w:p>
    <w:p w:rsidR="00367B4C" w:rsidRPr="004876EF" w:rsidRDefault="00367B4C" w:rsidP="00367B4C">
      <w:pPr>
        <w:pStyle w:val="ListParagraph"/>
        <w:numPr>
          <w:ilvl w:val="0"/>
          <w:numId w:val="20"/>
        </w:numPr>
        <w:spacing w:line="360" w:lineRule="auto"/>
        <w:jc w:val="both"/>
        <w:rPr>
          <w:b/>
          <w:bCs/>
          <w:sz w:val="28"/>
          <w:szCs w:val="28"/>
        </w:rPr>
      </w:pPr>
      <w:r w:rsidRPr="004876EF">
        <w:rPr>
          <w:b/>
          <w:bCs/>
        </w:rPr>
        <w:t>Supply and demand:</w:t>
      </w:r>
      <w:r w:rsidRPr="00243058">
        <w:t>The essential idea of a market is supply and demand. Prices increase when there is a greater want than supply to purchase a stock. On the other hand, if there are more sellers than buyers, the market price drops.</w:t>
      </w:r>
    </w:p>
    <w:p w:rsidR="00367B4C" w:rsidRPr="004876EF" w:rsidRDefault="00367B4C" w:rsidP="00367B4C">
      <w:pPr>
        <w:pStyle w:val="ListParagraph"/>
        <w:numPr>
          <w:ilvl w:val="0"/>
          <w:numId w:val="20"/>
        </w:numPr>
        <w:spacing w:line="360" w:lineRule="auto"/>
        <w:jc w:val="both"/>
        <w:rPr>
          <w:b/>
          <w:bCs/>
          <w:sz w:val="28"/>
          <w:szCs w:val="28"/>
        </w:rPr>
      </w:pPr>
      <w:r w:rsidRPr="004876EF">
        <w:rPr>
          <w:b/>
          <w:bCs/>
        </w:rPr>
        <w:t>Economic conditions:</w:t>
      </w:r>
      <w:r w:rsidRPr="00243058">
        <w:t xml:space="preserve"> Stock markets are generally favored and can see an increase in share prices when there is strong economic growth, low inflation, </w:t>
      </w:r>
      <w:r w:rsidRPr="00243058">
        <w:lastRenderedPageBreak/>
        <w:t>and stable interest rates. On the other hand, declining prices and a decrease in investor morale might result from recessions, excessive inflation, and rising interest rates.</w:t>
      </w:r>
    </w:p>
    <w:p w:rsidR="00367B4C" w:rsidRPr="004876EF" w:rsidRDefault="00367B4C" w:rsidP="00367B4C">
      <w:pPr>
        <w:pStyle w:val="ListParagraph"/>
        <w:numPr>
          <w:ilvl w:val="0"/>
          <w:numId w:val="20"/>
        </w:numPr>
        <w:spacing w:line="360" w:lineRule="auto"/>
        <w:jc w:val="both"/>
        <w:rPr>
          <w:b/>
          <w:bCs/>
          <w:sz w:val="28"/>
          <w:szCs w:val="28"/>
        </w:rPr>
      </w:pPr>
      <w:r w:rsidRPr="004876EF">
        <w:rPr>
          <w:b/>
          <w:bCs/>
        </w:rPr>
        <w:t>Trends in the sector:</w:t>
      </w:r>
      <w:r w:rsidRPr="00243058">
        <w:t xml:space="preserve"> The price of connected companies might be influenced by the success of particular sectors or industries. Energy firm stocks, for instance, can increase if oil prices rise, whereas tech company values might decrease if the tech sector slows down.</w:t>
      </w:r>
    </w:p>
    <w:p w:rsidR="00367B4C" w:rsidRDefault="00367B4C" w:rsidP="00367B4C">
      <w:pPr>
        <w:pStyle w:val="ListParagraph"/>
        <w:spacing w:line="360" w:lineRule="auto"/>
        <w:ind w:left="1152"/>
        <w:jc w:val="both"/>
        <w:rPr>
          <w:b/>
          <w:bCs/>
          <w:sz w:val="28"/>
          <w:szCs w:val="28"/>
        </w:rPr>
      </w:pPr>
    </w:p>
    <w:p w:rsidR="00367B4C" w:rsidRPr="004876EF" w:rsidRDefault="00367B4C" w:rsidP="00367B4C">
      <w:pPr>
        <w:pStyle w:val="ListParagraph"/>
        <w:numPr>
          <w:ilvl w:val="1"/>
          <w:numId w:val="19"/>
        </w:numPr>
        <w:spacing w:line="360" w:lineRule="auto"/>
        <w:jc w:val="both"/>
        <w:rPr>
          <w:b/>
          <w:bCs/>
          <w:sz w:val="28"/>
          <w:szCs w:val="28"/>
        </w:rPr>
      </w:pPr>
      <w:bookmarkStart w:id="10" w:name="_Hlk162076775"/>
      <w:r w:rsidRPr="004876EF">
        <w:rPr>
          <w:b/>
          <w:bCs/>
          <w:sz w:val="28"/>
          <w:szCs w:val="28"/>
        </w:rPr>
        <w:t xml:space="preserve"> Shareholding Patterns </w:t>
      </w:r>
    </w:p>
    <w:p w:rsidR="00367B4C" w:rsidRPr="00B17E21" w:rsidRDefault="00367B4C" w:rsidP="00367B4C">
      <w:pPr>
        <w:spacing w:after="0" w:line="360" w:lineRule="auto"/>
        <w:jc w:val="both"/>
        <w:rPr>
          <w:rFonts w:eastAsia="Times New Roman"/>
          <w:kern w:val="0"/>
          <w:lang w:eastAsia="en-IN"/>
        </w:rPr>
      </w:pPr>
      <w:r w:rsidRPr="00B17E21">
        <w:rPr>
          <w:rFonts w:eastAsia="Times New Roman"/>
          <w:kern w:val="0"/>
          <w:lang w:eastAsia="en-IN"/>
        </w:rPr>
        <w:t>An understanding of the distribution of a company's shares among various entities can be gained from the shareholding pattern. Patterns of shareholding are important for trading since they provide traders with information about the financial health of a company. The division of shares that haven't been listed on the stock exchange is referred to as the shareholding pattern.</w:t>
      </w:r>
    </w:p>
    <w:p w:rsidR="00367B4C" w:rsidRDefault="00367B4C" w:rsidP="00367B4C">
      <w:pPr>
        <w:pStyle w:val="ListParagraph"/>
        <w:numPr>
          <w:ilvl w:val="0"/>
          <w:numId w:val="17"/>
        </w:numPr>
        <w:spacing w:after="0" w:line="360" w:lineRule="auto"/>
        <w:jc w:val="both"/>
        <w:rPr>
          <w:rFonts w:eastAsia="Times New Roman"/>
          <w:kern w:val="0"/>
          <w:lang w:eastAsia="en-IN"/>
        </w:rPr>
      </w:pPr>
      <w:r w:rsidRPr="00E970CE">
        <w:rPr>
          <w:rFonts w:eastAsia="Times New Roman"/>
          <w:b/>
          <w:bCs/>
          <w:kern w:val="0"/>
          <w:lang w:eastAsia="en-IN"/>
        </w:rPr>
        <w:t>Promoters</w:t>
      </w:r>
      <w:r w:rsidRPr="00E970CE">
        <w:rPr>
          <w:rFonts w:eastAsia="Times New Roman"/>
          <w:kern w:val="0"/>
          <w:lang w:eastAsia="en-IN"/>
        </w:rPr>
        <w:t xml:space="preserve">: These are the people or organizations that started the business or possess a sizable portion of its equity. Promoters frequently possess the majority of a company's shares and participate in its management and decision-making. </w:t>
      </w:r>
    </w:p>
    <w:p w:rsidR="00367B4C" w:rsidRDefault="00367B4C" w:rsidP="00367B4C">
      <w:pPr>
        <w:pStyle w:val="ListParagraph"/>
        <w:numPr>
          <w:ilvl w:val="0"/>
          <w:numId w:val="17"/>
        </w:numPr>
        <w:spacing w:after="0" w:line="360" w:lineRule="auto"/>
        <w:jc w:val="both"/>
        <w:rPr>
          <w:rFonts w:eastAsia="Times New Roman"/>
          <w:kern w:val="0"/>
          <w:lang w:eastAsia="en-IN"/>
        </w:rPr>
      </w:pPr>
      <w:r w:rsidRPr="00E970CE">
        <w:rPr>
          <w:rFonts w:eastAsia="Times New Roman"/>
          <w:b/>
          <w:bCs/>
          <w:kern w:val="0"/>
          <w:lang w:eastAsia="en-IN"/>
        </w:rPr>
        <w:t>Public</w:t>
      </w:r>
      <w:r w:rsidRPr="00E970CE">
        <w:rPr>
          <w:rFonts w:eastAsia="Times New Roman"/>
          <w:kern w:val="0"/>
          <w:lang w:eastAsia="en-IN"/>
        </w:rPr>
        <w:t>:Shareholders who are not members of the promoter group but who own shares in the company are referred to as public shareholders. These consist of mutual funds, institutional and retail investors, etc.</w:t>
      </w:r>
    </w:p>
    <w:p w:rsidR="00367B4C" w:rsidRDefault="00367B4C" w:rsidP="00367B4C">
      <w:pPr>
        <w:pStyle w:val="ListParagraph"/>
        <w:numPr>
          <w:ilvl w:val="0"/>
          <w:numId w:val="17"/>
        </w:numPr>
        <w:spacing w:after="0" w:line="360" w:lineRule="auto"/>
        <w:jc w:val="both"/>
        <w:rPr>
          <w:rFonts w:eastAsia="Times New Roman"/>
          <w:kern w:val="0"/>
          <w:lang w:eastAsia="en-IN"/>
        </w:rPr>
      </w:pPr>
      <w:r w:rsidRPr="00E970CE">
        <w:rPr>
          <w:rFonts w:eastAsia="Times New Roman"/>
          <w:b/>
          <w:bCs/>
          <w:kern w:val="0"/>
          <w:lang w:eastAsia="en-IN"/>
        </w:rPr>
        <w:t>Foreign Institutional investors</w:t>
      </w:r>
      <w:r w:rsidRPr="00E970CE">
        <w:rPr>
          <w:rFonts w:eastAsia="Times New Roman"/>
          <w:kern w:val="0"/>
          <w:lang w:eastAsia="en-IN"/>
        </w:rPr>
        <w:t>: who purchase shares of a firm but are based outside of the nation in which it is headquartered are known as foreign institutional investors, or FIIs. These can consist of mutual funds, hedge funds, pension funds, and other major financial organizations.</w:t>
      </w:r>
    </w:p>
    <w:p w:rsidR="00367B4C" w:rsidRDefault="00367B4C" w:rsidP="00367B4C">
      <w:pPr>
        <w:pStyle w:val="ListParagraph"/>
        <w:numPr>
          <w:ilvl w:val="0"/>
          <w:numId w:val="17"/>
        </w:numPr>
        <w:spacing w:after="0" w:line="360" w:lineRule="auto"/>
        <w:jc w:val="both"/>
        <w:rPr>
          <w:rFonts w:eastAsia="Times New Roman"/>
          <w:kern w:val="0"/>
          <w:lang w:eastAsia="en-IN"/>
        </w:rPr>
      </w:pPr>
      <w:r w:rsidRPr="005B4B01">
        <w:rPr>
          <w:rFonts w:eastAsia="Times New Roman"/>
          <w:b/>
          <w:bCs/>
          <w:kern w:val="0"/>
          <w:lang w:eastAsia="en-IN"/>
        </w:rPr>
        <w:t>Domestic Institutional Investors (DIIs</w:t>
      </w:r>
      <w:r w:rsidRPr="005B4B01">
        <w:rPr>
          <w:rFonts w:eastAsia="Times New Roman"/>
          <w:kern w:val="0"/>
          <w:lang w:eastAsia="en-IN"/>
        </w:rPr>
        <w:t xml:space="preserve">): Although they are domestic institutions, DIIs and FIIs are comparable. Mutual funds, insurance providers, banks, and other financial organizations having their headquarters in the nation where the corporation is listed fall under this category. </w:t>
      </w:r>
    </w:p>
    <w:p w:rsidR="00367B4C" w:rsidRPr="005B4B01" w:rsidRDefault="00367B4C" w:rsidP="00367B4C">
      <w:pPr>
        <w:pStyle w:val="ListParagraph"/>
        <w:numPr>
          <w:ilvl w:val="0"/>
          <w:numId w:val="17"/>
        </w:numPr>
        <w:spacing w:after="0" w:line="360" w:lineRule="auto"/>
        <w:jc w:val="both"/>
        <w:rPr>
          <w:rFonts w:eastAsia="Times New Roman"/>
          <w:kern w:val="0"/>
          <w:lang w:eastAsia="en-IN"/>
        </w:rPr>
      </w:pPr>
      <w:r w:rsidRPr="005B4B01">
        <w:rPr>
          <w:rFonts w:eastAsia="Times New Roman"/>
          <w:b/>
          <w:bCs/>
          <w:kern w:val="0"/>
          <w:lang w:eastAsia="en-IN"/>
        </w:rPr>
        <w:t>Government:</w:t>
      </w:r>
      <w:r w:rsidRPr="005B4B01">
        <w:rPr>
          <w:rFonts w:eastAsia="Times New Roman"/>
          <w:kern w:val="0"/>
          <w:lang w:eastAsia="en-IN"/>
        </w:rPr>
        <w:t xml:space="preserve"> Occasionally, the government may own shares in a business directly or through organizations like public sector banks, sovereign wealth funds, or other institutions under government supervision.</w:t>
      </w:r>
    </w:p>
    <w:bookmarkEnd w:id="10"/>
    <w:p w:rsidR="00367B4C" w:rsidRPr="00243058" w:rsidRDefault="00367B4C" w:rsidP="00367B4C">
      <w:pPr>
        <w:tabs>
          <w:tab w:val="left" w:pos="5034"/>
        </w:tabs>
        <w:spacing w:line="360" w:lineRule="auto"/>
        <w:jc w:val="both"/>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76646D" w:rsidRDefault="0076646D" w:rsidP="00CC1499">
      <w:pPr>
        <w:jc w:val="center"/>
        <w:rPr>
          <w:b/>
          <w:bCs/>
          <w:sz w:val="32"/>
          <w:szCs w:val="32"/>
        </w:rPr>
      </w:pPr>
    </w:p>
    <w:p w:rsidR="00CC1499" w:rsidRDefault="00CC1499" w:rsidP="00CC1499">
      <w:pPr>
        <w:jc w:val="center"/>
        <w:rPr>
          <w:b/>
          <w:bCs/>
          <w:sz w:val="32"/>
          <w:szCs w:val="32"/>
        </w:rPr>
      </w:pPr>
      <w:r>
        <w:rPr>
          <w:b/>
          <w:bCs/>
          <w:sz w:val="32"/>
          <w:szCs w:val="32"/>
        </w:rPr>
        <w:t>CHAPTER 4</w:t>
      </w:r>
    </w:p>
    <w:p w:rsidR="00CC1499" w:rsidRDefault="00CC1499" w:rsidP="00CC1499">
      <w:pPr>
        <w:jc w:val="center"/>
        <w:rPr>
          <w:b/>
          <w:bCs/>
          <w:sz w:val="32"/>
          <w:szCs w:val="32"/>
        </w:rPr>
      </w:pPr>
      <w:r>
        <w:rPr>
          <w:b/>
          <w:bCs/>
          <w:sz w:val="32"/>
          <w:szCs w:val="32"/>
        </w:rPr>
        <w:t>DATA ANALYSIS AND INTERPRETATION</w:t>
      </w: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bookmarkEnd w:id="8"/>
    <w:p w:rsidR="00CC1499" w:rsidRDefault="00CC1499" w:rsidP="00CC1499">
      <w:pPr>
        <w:jc w:val="center"/>
        <w:rPr>
          <w:b/>
          <w:bCs/>
          <w:sz w:val="32"/>
          <w:szCs w:val="32"/>
        </w:rPr>
      </w:pPr>
    </w:p>
    <w:p w:rsidR="00CC1499" w:rsidRDefault="00CC1499" w:rsidP="00CC1499">
      <w:pPr>
        <w:jc w:val="center"/>
        <w:rPr>
          <w:b/>
          <w:bCs/>
          <w:sz w:val="32"/>
          <w:szCs w:val="32"/>
        </w:rPr>
      </w:pPr>
      <w:bookmarkStart w:id="11" w:name="_Hlk162166027"/>
      <w:bookmarkEnd w:id="9"/>
    </w:p>
    <w:p w:rsidR="00CC1499" w:rsidRDefault="00CC1499" w:rsidP="00CC1499">
      <w:pPr>
        <w:jc w:val="center"/>
        <w:rPr>
          <w:b/>
          <w:bCs/>
          <w:sz w:val="32"/>
          <w:szCs w:val="32"/>
        </w:rPr>
      </w:pPr>
    </w:p>
    <w:p w:rsidR="00CC1499" w:rsidRDefault="00CC1499" w:rsidP="00CC1499">
      <w:pPr>
        <w:jc w:val="center"/>
        <w:rPr>
          <w:b/>
          <w:bCs/>
          <w:sz w:val="32"/>
          <w:szCs w:val="32"/>
        </w:rPr>
      </w:pPr>
    </w:p>
    <w:p w:rsidR="00367B4C" w:rsidRPr="00A805AA" w:rsidRDefault="00367B4C" w:rsidP="00367B4C">
      <w:pPr>
        <w:tabs>
          <w:tab w:val="left" w:pos="5034"/>
        </w:tabs>
        <w:spacing w:line="360" w:lineRule="auto"/>
        <w:rPr>
          <w:b/>
          <w:bCs/>
          <w:sz w:val="28"/>
          <w:szCs w:val="28"/>
        </w:rPr>
      </w:pPr>
      <w:r w:rsidRPr="00A805AA">
        <w:rPr>
          <w:b/>
          <w:bCs/>
          <w:sz w:val="28"/>
          <w:szCs w:val="28"/>
        </w:rPr>
        <w:t>4.1 Correlation</w:t>
      </w:r>
    </w:p>
    <w:p w:rsidR="00367B4C" w:rsidRPr="00A805AA" w:rsidRDefault="00367B4C" w:rsidP="00367B4C">
      <w:pPr>
        <w:tabs>
          <w:tab w:val="left" w:pos="5034"/>
        </w:tabs>
        <w:spacing w:line="360" w:lineRule="auto"/>
        <w:jc w:val="both"/>
      </w:pPr>
      <w:r w:rsidRPr="00A805AA">
        <w:t>The first method used for data analysis and interpretation in correlation.The degree to which two variables are linearly related, or change together at a constant rate, is expressed statistically by correlation. It's a popular method for summarizing straightforward relationships without establishing causation and effect. This study used Karl Pearson's coefficient of correlation as its correlation method.Karl Pearson's coefficient of correlation is a widely used mathematical technique that measures the degree of relationship between linearly connected variables using numerical representation. "r" stands for the coefficient of correlation.</w:t>
      </w:r>
    </w:p>
    <w:p w:rsidR="00367B4C" w:rsidRPr="00A805AA" w:rsidRDefault="00367B4C" w:rsidP="00367B4C">
      <w:pPr>
        <w:tabs>
          <w:tab w:val="left" w:pos="5034"/>
        </w:tabs>
        <w:spacing w:line="360" w:lineRule="auto"/>
      </w:pPr>
    </w:p>
    <w:p w:rsidR="00367B4C" w:rsidRPr="00A805AA" w:rsidRDefault="00367B4C" w:rsidP="00367B4C">
      <w:pPr>
        <w:numPr>
          <w:ilvl w:val="2"/>
          <w:numId w:val="34"/>
        </w:numPr>
        <w:tabs>
          <w:tab w:val="left" w:pos="5034"/>
        </w:tabs>
        <w:spacing w:line="360" w:lineRule="auto"/>
        <w:contextualSpacing/>
        <w:rPr>
          <w:b/>
          <w:bCs/>
          <w:sz w:val="28"/>
          <w:szCs w:val="28"/>
        </w:rPr>
      </w:pPr>
      <w:r w:rsidRPr="00A805AA">
        <w:rPr>
          <w:b/>
          <w:bCs/>
          <w:sz w:val="28"/>
          <w:szCs w:val="28"/>
        </w:rPr>
        <w:t>Hindustan Unilever Ltd.</w:t>
      </w:r>
    </w:p>
    <w:p w:rsidR="00367B4C" w:rsidRPr="00A805AA" w:rsidRDefault="00367B4C" w:rsidP="00367B4C">
      <w:pPr>
        <w:tabs>
          <w:tab w:val="left" w:pos="5034"/>
        </w:tabs>
        <w:spacing w:line="360" w:lineRule="auto"/>
        <w:ind w:left="360"/>
        <w:jc w:val="center"/>
        <w:rPr>
          <w:b/>
          <w:bCs/>
        </w:rPr>
      </w:pPr>
      <w:r w:rsidRPr="00A805AA">
        <w:rPr>
          <w:b/>
          <w:bCs/>
        </w:rPr>
        <w:t>Table 4.1 Karl pearson’s coefficient correlation between quarterly results and the share price movements: Hindustan Unilever Ltd.</w:t>
      </w:r>
    </w:p>
    <w:tbl>
      <w:tblPr>
        <w:tblStyle w:val="Footer"/>
        <w:tblW w:w="8344" w:type="dxa"/>
        <w:tblLook w:val="04A0"/>
      </w:tblPr>
      <w:tblGrid>
        <w:gridCol w:w="1390"/>
        <w:gridCol w:w="1390"/>
        <w:gridCol w:w="1391"/>
        <w:gridCol w:w="1391"/>
        <w:gridCol w:w="1391"/>
        <w:gridCol w:w="1391"/>
      </w:tblGrid>
      <w:tr w:rsidR="00367B4C" w:rsidRPr="00A805AA" w:rsidTr="00367B4C">
        <w:trPr>
          <w:trHeight w:val="181"/>
        </w:trPr>
        <w:tc>
          <w:tcPr>
            <w:tcW w:w="1390" w:type="dxa"/>
          </w:tcPr>
          <w:p w:rsidR="00367B4C" w:rsidRPr="00A805AA" w:rsidRDefault="00367B4C" w:rsidP="00367B4C">
            <w:pPr>
              <w:spacing w:line="360" w:lineRule="auto"/>
              <w:jc w:val="center"/>
              <w:rPr>
                <w:b/>
                <w:bCs/>
              </w:rPr>
            </w:pPr>
            <w:r w:rsidRPr="00A805AA">
              <w:rPr>
                <w:b/>
                <w:bCs/>
              </w:rPr>
              <w:t>Quarters</w:t>
            </w:r>
          </w:p>
        </w:tc>
        <w:tc>
          <w:tcPr>
            <w:tcW w:w="1390" w:type="dxa"/>
          </w:tcPr>
          <w:p w:rsidR="00367B4C" w:rsidRPr="00A805AA" w:rsidRDefault="00367B4C" w:rsidP="00367B4C">
            <w:pPr>
              <w:spacing w:line="360" w:lineRule="auto"/>
              <w:jc w:val="center"/>
              <w:rPr>
                <w:b/>
                <w:bCs/>
              </w:rPr>
            </w:pPr>
            <w:r w:rsidRPr="00A805AA">
              <w:rPr>
                <w:b/>
                <w:bCs/>
              </w:rPr>
              <w:t>Results</w:t>
            </w:r>
          </w:p>
          <w:p w:rsidR="00367B4C" w:rsidRPr="00A805AA" w:rsidRDefault="00367B4C" w:rsidP="00367B4C">
            <w:pPr>
              <w:spacing w:line="360" w:lineRule="auto"/>
              <w:jc w:val="center"/>
              <w:rPr>
                <w:b/>
                <w:bCs/>
              </w:rPr>
            </w:pPr>
            <w:r w:rsidRPr="00A805AA">
              <w:rPr>
                <w:b/>
                <w:bCs/>
              </w:rPr>
              <w:t>(X)</w:t>
            </w:r>
          </w:p>
        </w:tc>
        <w:tc>
          <w:tcPr>
            <w:tcW w:w="1391" w:type="dxa"/>
          </w:tcPr>
          <w:p w:rsidR="00367B4C" w:rsidRPr="00A805AA" w:rsidRDefault="00367B4C" w:rsidP="00367B4C">
            <w:pPr>
              <w:spacing w:line="360" w:lineRule="auto"/>
              <w:jc w:val="center"/>
              <w:rPr>
                <w:b/>
                <w:bCs/>
              </w:rPr>
            </w:pPr>
            <w:r w:rsidRPr="00A805AA">
              <w:rPr>
                <w:b/>
                <w:bCs/>
              </w:rPr>
              <w:t>X</w:t>
            </w:r>
            <w:r w:rsidRPr="00A805AA">
              <w:rPr>
                <w:b/>
                <w:bCs/>
                <w:vertAlign w:val="superscript"/>
              </w:rPr>
              <w:t>2</w:t>
            </w:r>
          </w:p>
        </w:tc>
        <w:tc>
          <w:tcPr>
            <w:tcW w:w="1391" w:type="dxa"/>
          </w:tcPr>
          <w:p w:rsidR="00367B4C" w:rsidRPr="00A805AA" w:rsidRDefault="00367B4C" w:rsidP="00367B4C">
            <w:pPr>
              <w:spacing w:line="360" w:lineRule="auto"/>
              <w:jc w:val="center"/>
              <w:rPr>
                <w:b/>
                <w:bCs/>
              </w:rPr>
            </w:pPr>
            <w:r w:rsidRPr="00A805AA">
              <w:rPr>
                <w:b/>
                <w:bCs/>
              </w:rPr>
              <w:t>Share Price (Y)</w:t>
            </w:r>
          </w:p>
        </w:tc>
        <w:tc>
          <w:tcPr>
            <w:tcW w:w="1391" w:type="dxa"/>
          </w:tcPr>
          <w:p w:rsidR="00367B4C" w:rsidRPr="00A805AA" w:rsidRDefault="00367B4C" w:rsidP="00367B4C">
            <w:pPr>
              <w:spacing w:line="360" w:lineRule="auto"/>
              <w:jc w:val="center"/>
              <w:rPr>
                <w:b/>
                <w:bCs/>
                <w:vertAlign w:val="superscript"/>
              </w:rPr>
            </w:pPr>
            <w:r w:rsidRPr="00A805AA">
              <w:rPr>
                <w:b/>
                <w:bCs/>
              </w:rPr>
              <w:t>Y</w:t>
            </w:r>
            <w:r w:rsidRPr="00A805AA">
              <w:rPr>
                <w:b/>
                <w:bCs/>
                <w:vertAlign w:val="superscript"/>
              </w:rPr>
              <w:t>2</w:t>
            </w:r>
          </w:p>
        </w:tc>
        <w:tc>
          <w:tcPr>
            <w:tcW w:w="1391" w:type="dxa"/>
          </w:tcPr>
          <w:p w:rsidR="00367B4C" w:rsidRPr="00A805AA" w:rsidRDefault="00367B4C" w:rsidP="00367B4C">
            <w:pPr>
              <w:spacing w:line="360" w:lineRule="auto"/>
              <w:jc w:val="center"/>
              <w:rPr>
                <w:b/>
                <w:bCs/>
              </w:rPr>
            </w:pPr>
            <w:r w:rsidRPr="00A805AA">
              <w:rPr>
                <w:b/>
                <w:bCs/>
              </w:rPr>
              <w:t>XY</w:t>
            </w:r>
          </w:p>
        </w:tc>
      </w:tr>
      <w:tr w:rsidR="00367B4C" w:rsidRPr="00A805AA" w:rsidTr="00367B4C">
        <w:trPr>
          <w:trHeight w:val="386"/>
        </w:trPr>
        <w:tc>
          <w:tcPr>
            <w:tcW w:w="1390" w:type="dxa"/>
          </w:tcPr>
          <w:p w:rsidR="00367B4C" w:rsidRPr="00A805AA" w:rsidRDefault="00367B4C" w:rsidP="00367B4C">
            <w:pPr>
              <w:spacing w:line="360" w:lineRule="auto"/>
              <w:jc w:val="center"/>
            </w:pPr>
            <w:bookmarkStart w:id="12" w:name="_Hlk154746892"/>
            <w:r w:rsidRPr="00A805AA">
              <w:t>Sept 2021</w:t>
            </w:r>
          </w:p>
        </w:tc>
        <w:tc>
          <w:tcPr>
            <w:tcW w:w="1390" w:type="dxa"/>
          </w:tcPr>
          <w:p w:rsidR="00367B4C" w:rsidRPr="00A805AA" w:rsidRDefault="00367B4C" w:rsidP="00367B4C">
            <w:pPr>
              <w:spacing w:line="360" w:lineRule="auto"/>
              <w:jc w:val="center"/>
            </w:pPr>
            <w:r w:rsidRPr="00A805AA">
              <w:t>2185</w:t>
            </w:r>
          </w:p>
        </w:tc>
        <w:tc>
          <w:tcPr>
            <w:tcW w:w="1391" w:type="dxa"/>
          </w:tcPr>
          <w:p w:rsidR="00367B4C" w:rsidRPr="00A805AA" w:rsidRDefault="00367B4C" w:rsidP="00367B4C">
            <w:pPr>
              <w:spacing w:line="360" w:lineRule="auto"/>
              <w:jc w:val="center"/>
            </w:pPr>
            <w:r w:rsidRPr="00A805AA">
              <w:t>4774225</w:t>
            </w:r>
          </w:p>
        </w:tc>
        <w:tc>
          <w:tcPr>
            <w:tcW w:w="1391" w:type="dxa"/>
          </w:tcPr>
          <w:p w:rsidR="00367B4C" w:rsidRPr="00A805AA" w:rsidRDefault="00367B4C" w:rsidP="00367B4C">
            <w:pPr>
              <w:spacing w:line="360" w:lineRule="auto"/>
              <w:jc w:val="center"/>
            </w:pPr>
            <w:r w:rsidRPr="00A805AA">
              <w:t>2702</w:t>
            </w:r>
          </w:p>
        </w:tc>
        <w:tc>
          <w:tcPr>
            <w:tcW w:w="1391" w:type="dxa"/>
          </w:tcPr>
          <w:p w:rsidR="00367B4C" w:rsidRPr="00A805AA" w:rsidRDefault="00367B4C" w:rsidP="00367B4C">
            <w:pPr>
              <w:spacing w:line="360" w:lineRule="auto"/>
              <w:jc w:val="center"/>
            </w:pPr>
            <w:r w:rsidRPr="00A805AA">
              <w:t>7300804</w:t>
            </w:r>
          </w:p>
        </w:tc>
        <w:tc>
          <w:tcPr>
            <w:tcW w:w="1391" w:type="dxa"/>
          </w:tcPr>
          <w:p w:rsidR="00367B4C" w:rsidRPr="00A805AA" w:rsidRDefault="00367B4C" w:rsidP="00367B4C">
            <w:pPr>
              <w:spacing w:line="360" w:lineRule="auto"/>
              <w:jc w:val="center"/>
            </w:pPr>
            <w:r w:rsidRPr="00A805AA">
              <w:t>5903870</w:t>
            </w:r>
          </w:p>
        </w:tc>
      </w:tr>
      <w:tr w:rsidR="00367B4C" w:rsidRPr="00A805AA" w:rsidTr="00367B4C">
        <w:trPr>
          <w:trHeight w:val="386"/>
        </w:trPr>
        <w:tc>
          <w:tcPr>
            <w:tcW w:w="1390" w:type="dxa"/>
          </w:tcPr>
          <w:p w:rsidR="00367B4C" w:rsidRPr="00A805AA" w:rsidRDefault="00367B4C" w:rsidP="00367B4C">
            <w:pPr>
              <w:spacing w:line="360" w:lineRule="auto"/>
              <w:jc w:val="center"/>
            </w:pPr>
            <w:r w:rsidRPr="00A805AA">
              <w:t>Dec 2021</w:t>
            </w:r>
          </w:p>
        </w:tc>
        <w:tc>
          <w:tcPr>
            <w:tcW w:w="1390" w:type="dxa"/>
          </w:tcPr>
          <w:p w:rsidR="00367B4C" w:rsidRPr="00A805AA" w:rsidRDefault="00367B4C" w:rsidP="00367B4C">
            <w:pPr>
              <w:spacing w:line="360" w:lineRule="auto"/>
              <w:jc w:val="center"/>
            </w:pPr>
            <w:r w:rsidRPr="00A805AA">
              <w:t>2300</w:t>
            </w:r>
          </w:p>
        </w:tc>
        <w:tc>
          <w:tcPr>
            <w:tcW w:w="1391" w:type="dxa"/>
          </w:tcPr>
          <w:p w:rsidR="00367B4C" w:rsidRPr="00A805AA" w:rsidRDefault="00367B4C" w:rsidP="00367B4C">
            <w:pPr>
              <w:spacing w:line="360" w:lineRule="auto"/>
              <w:jc w:val="center"/>
            </w:pPr>
            <w:r w:rsidRPr="00A805AA">
              <w:t>5290000</w:t>
            </w:r>
          </w:p>
        </w:tc>
        <w:tc>
          <w:tcPr>
            <w:tcW w:w="1391" w:type="dxa"/>
          </w:tcPr>
          <w:p w:rsidR="00367B4C" w:rsidRPr="00A805AA" w:rsidRDefault="00367B4C" w:rsidP="00367B4C">
            <w:pPr>
              <w:spacing w:line="360" w:lineRule="auto"/>
              <w:jc w:val="center"/>
            </w:pPr>
            <w:r w:rsidRPr="00A805AA">
              <w:t>2360</w:t>
            </w:r>
          </w:p>
        </w:tc>
        <w:tc>
          <w:tcPr>
            <w:tcW w:w="1391" w:type="dxa"/>
          </w:tcPr>
          <w:p w:rsidR="00367B4C" w:rsidRPr="00A805AA" w:rsidRDefault="00367B4C" w:rsidP="00367B4C">
            <w:pPr>
              <w:spacing w:line="360" w:lineRule="auto"/>
              <w:jc w:val="center"/>
            </w:pPr>
            <w:r w:rsidRPr="00A805AA">
              <w:t>5569600</w:t>
            </w:r>
          </w:p>
        </w:tc>
        <w:tc>
          <w:tcPr>
            <w:tcW w:w="1391" w:type="dxa"/>
          </w:tcPr>
          <w:p w:rsidR="00367B4C" w:rsidRPr="00A805AA" w:rsidRDefault="00367B4C" w:rsidP="00367B4C">
            <w:pPr>
              <w:spacing w:line="360" w:lineRule="auto"/>
              <w:jc w:val="center"/>
            </w:pPr>
            <w:r w:rsidRPr="00A805AA">
              <w:t>5428000</w:t>
            </w:r>
          </w:p>
        </w:tc>
      </w:tr>
      <w:tr w:rsidR="00367B4C" w:rsidRPr="00A805AA" w:rsidTr="00367B4C">
        <w:trPr>
          <w:trHeight w:val="371"/>
        </w:trPr>
        <w:tc>
          <w:tcPr>
            <w:tcW w:w="1390" w:type="dxa"/>
          </w:tcPr>
          <w:p w:rsidR="00367B4C" w:rsidRPr="00A805AA" w:rsidRDefault="00367B4C" w:rsidP="00367B4C">
            <w:pPr>
              <w:spacing w:line="360" w:lineRule="auto"/>
              <w:jc w:val="center"/>
            </w:pPr>
            <w:r w:rsidRPr="00A805AA">
              <w:t>March 2022</w:t>
            </w:r>
          </w:p>
        </w:tc>
        <w:tc>
          <w:tcPr>
            <w:tcW w:w="1390" w:type="dxa"/>
          </w:tcPr>
          <w:p w:rsidR="00367B4C" w:rsidRPr="00A805AA" w:rsidRDefault="00367B4C" w:rsidP="00367B4C">
            <w:pPr>
              <w:spacing w:line="360" w:lineRule="auto"/>
              <w:jc w:val="center"/>
            </w:pPr>
            <w:r w:rsidRPr="00A805AA">
              <w:t>2307</w:t>
            </w:r>
          </w:p>
        </w:tc>
        <w:tc>
          <w:tcPr>
            <w:tcW w:w="1391" w:type="dxa"/>
          </w:tcPr>
          <w:p w:rsidR="00367B4C" w:rsidRPr="00A805AA" w:rsidRDefault="00367B4C" w:rsidP="00367B4C">
            <w:pPr>
              <w:spacing w:line="360" w:lineRule="auto"/>
              <w:jc w:val="center"/>
            </w:pPr>
            <w:r w:rsidRPr="00A805AA">
              <w:t>5322249</w:t>
            </w:r>
          </w:p>
        </w:tc>
        <w:tc>
          <w:tcPr>
            <w:tcW w:w="1391" w:type="dxa"/>
          </w:tcPr>
          <w:p w:rsidR="00367B4C" w:rsidRPr="00A805AA" w:rsidRDefault="00367B4C" w:rsidP="00367B4C">
            <w:pPr>
              <w:spacing w:line="360" w:lineRule="auto"/>
              <w:jc w:val="center"/>
            </w:pPr>
            <w:r w:rsidRPr="00A805AA">
              <w:t>2049</w:t>
            </w:r>
          </w:p>
        </w:tc>
        <w:tc>
          <w:tcPr>
            <w:tcW w:w="1391" w:type="dxa"/>
          </w:tcPr>
          <w:p w:rsidR="00367B4C" w:rsidRPr="00A805AA" w:rsidRDefault="00367B4C" w:rsidP="00367B4C">
            <w:pPr>
              <w:spacing w:line="360" w:lineRule="auto"/>
              <w:jc w:val="center"/>
            </w:pPr>
            <w:r w:rsidRPr="00A805AA">
              <w:t>4198401</w:t>
            </w:r>
          </w:p>
        </w:tc>
        <w:tc>
          <w:tcPr>
            <w:tcW w:w="1391" w:type="dxa"/>
          </w:tcPr>
          <w:p w:rsidR="00367B4C" w:rsidRPr="00A805AA" w:rsidRDefault="00367B4C" w:rsidP="00367B4C">
            <w:pPr>
              <w:spacing w:line="360" w:lineRule="auto"/>
              <w:jc w:val="center"/>
            </w:pPr>
            <w:r w:rsidRPr="00A805AA">
              <w:t>4727043</w:t>
            </w:r>
          </w:p>
        </w:tc>
      </w:tr>
      <w:tr w:rsidR="00367B4C" w:rsidRPr="00A805AA" w:rsidTr="00367B4C">
        <w:trPr>
          <w:trHeight w:val="386"/>
        </w:trPr>
        <w:tc>
          <w:tcPr>
            <w:tcW w:w="1390" w:type="dxa"/>
          </w:tcPr>
          <w:p w:rsidR="00367B4C" w:rsidRPr="00A805AA" w:rsidRDefault="00367B4C" w:rsidP="00367B4C">
            <w:pPr>
              <w:spacing w:line="360" w:lineRule="auto"/>
              <w:jc w:val="center"/>
            </w:pPr>
            <w:r w:rsidRPr="00A805AA">
              <w:t>June 2022</w:t>
            </w:r>
          </w:p>
        </w:tc>
        <w:tc>
          <w:tcPr>
            <w:tcW w:w="1390" w:type="dxa"/>
          </w:tcPr>
          <w:p w:rsidR="00367B4C" w:rsidRPr="00A805AA" w:rsidRDefault="00367B4C" w:rsidP="00367B4C">
            <w:pPr>
              <w:spacing w:line="360" w:lineRule="auto"/>
              <w:jc w:val="center"/>
            </w:pPr>
            <w:r w:rsidRPr="00A805AA">
              <w:t>2391</w:t>
            </w:r>
          </w:p>
        </w:tc>
        <w:tc>
          <w:tcPr>
            <w:tcW w:w="1391" w:type="dxa"/>
          </w:tcPr>
          <w:p w:rsidR="00367B4C" w:rsidRPr="00A805AA" w:rsidRDefault="00367B4C" w:rsidP="00367B4C">
            <w:pPr>
              <w:spacing w:line="360" w:lineRule="auto"/>
              <w:jc w:val="center"/>
            </w:pPr>
            <w:r w:rsidRPr="00A805AA">
              <w:t>5716881</w:t>
            </w:r>
          </w:p>
        </w:tc>
        <w:tc>
          <w:tcPr>
            <w:tcW w:w="1391" w:type="dxa"/>
          </w:tcPr>
          <w:p w:rsidR="00367B4C" w:rsidRPr="00A805AA" w:rsidRDefault="00367B4C" w:rsidP="00367B4C">
            <w:pPr>
              <w:spacing w:line="360" w:lineRule="auto"/>
              <w:jc w:val="center"/>
            </w:pPr>
            <w:r w:rsidRPr="00A805AA">
              <w:t>2231</w:t>
            </w:r>
          </w:p>
        </w:tc>
        <w:tc>
          <w:tcPr>
            <w:tcW w:w="1391" w:type="dxa"/>
          </w:tcPr>
          <w:p w:rsidR="00367B4C" w:rsidRPr="00A805AA" w:rsidRDefault="00367B4C" w:rsidP="00367B4C">
            <w:pPr>
              <w:spacing w:line="360" w:lineRule="auto"/>
              <w:jc w:val="center"/>
            </w:pPr>
            <w:r w:rsidRPr="00A805AA">
              <w:t>4977361</w:t>
            </w:r>
          </w:p>
        </w:tc>
        <w:tc>
          <w:tcPr>
            <w:tcW w:w="1391" w:type="dxa"/>
          </w:tcPr>
          <w:p w:rsidR="00367B4C" w:rsidRPr="00A805AA" w:rsidRDefault="00367B4C" w:rsidP="00367B4C">
            <w:pPr>
              <w:spacing w:line="360" w:lineRule="auto"/>
              <w:jc w:val="center"/>
            </w:pPr>
            <w:r w:rsidRPr="00A805AA">
              <w:t>5334321</w:t>
            </w:r>
          </w:p>
        </w:tc>
      </w:tr>
      <w:tr w:rsidR="00367B4C" w:rsidRPr="00A805AA" w:rsidTr="00367B4C">
        <w:trPr>
          <w:trHeight w:val="386"/>
        </w:trPr>
        <w:tc>
          <w:tcPr>
            <w:tcW w:w="1390" w:type="dxa"/>
          </w:tcPr>
          <w:p w:rsidR="00367B4C" w:rsidRPr="00A805AA" w:rsidRDefault="00367B4C" w:rsidP="00367B4C">
            <w:pPr>
              <w:spacing w:line="360" w:lineRule="auto"/>
              <w:jc w:val="center"/>
            </w:pPr>
            <w:r w:rsidRPr="00A805AA">
              <w:t>Sept 2022</w:t>
            </w:r>
          </w:p>
        </w:tc>
        <w:tc>
          <w:tcPr>
            <w:tcW w:w="1390" w:type="dxa"/>
          </w:tcPr>
          <w:p w:rsidR="00367B4C" w:rsidRPr="00A805AA" w:rsidRDefault="00367B4C" w:rsidP="00367B4C">
            <w:pPr>
              <w:spacing w:line="360" w:lineRule="auto"/>
              <w:jc w:val="center"/>
            </w:pPr>
            <w:r w:rsidRPr="00A805AA">
              <w:t>2670</w:t>
            </w:r>
          </w:p>
        </w:tc>
        <w:tc>
          <w:tcPr>
            <w:tcW w:w="1391" w:type="dxa"/>
          </w:tcPr>
          <w:p w:rsidR="00367B4C" w:rsidRPr="00A805AA" w:rsidRDefault="00367B4C" w:rsidP="00367B4C">
            <w:pPr>
              <w:spacing w:line="360" w:lineRule="auto"/>
              <w:jc w:val="center"/>
            </w:pPr>
            <w:r w:rsidRPr="00A805AA">
              <w:t>7128900</w:t>
            </w:r>
          </w:p>
        </w:tc>
        <w:tc>
          <w:tcPr>
            <w:tcW w:w="1391" w:type="dxa"/>
          </w:tcPr>
          <w:p w:rsidR="00367B4C" w:rsidRPr="00A805AA" w:rsidRDefault="00367B4C" w:rsidP="00367B4C">
            <w:pPr>
              <w:spacing w:line="360" w:lineRule="auto"/>
              <w:jc w:val="center"/>
            </w:pPr>
            <w:r w:rsidRPr="00A805AA">
              <w:t>2696</w:t>
            </w:r>
          </w:p>
        </w:tc>
        <w:tc>
          <w:tcPr>
            <w:tcW w:w="1391" w:type="dxa"/>
          </w:tcPr>
          <w:p w:rsidR="00367B4C" w:rsidRPr="00A805AA" w:rsidRDefault="00367B4C" w:rsidP="00367B4C">
            <w:pPr>
              <w:spacing w:line="360" w:lineRule="auto"/>
              <w:jc w:val="center"/>
            </w:pPr>
            <w:r w:rsidRPr="00A805AA">
              <w:t>7268416</w:t>
            </w:r>
          </w:p>
        </w:tc>
        <w:tc>
          <w:tcPr>
            <w:tcW w:w="1391" w:type="dxa"/>
          </w:tcPr>
          <w:p w:rsidR="00367B4C" w:rsidRPr="00A805AA" w:rsidRDefault="00367B4C" w:rsidP="00367B4C">
            <w:pPr>
              <w:spacing w:line="360" w:lineRule="auto"/>
              <w:jc w:val="center"/>
            </w:pPr>
            <w:r w:rsidRPr="00A805AA">
              <w:t>7198320</w:t>
            </w:r>
          </w:p>
        </w:tc>
      </w:tr>
      <w:tr w:rsidR="00367B4C" w:rsidRPr="00A805AA" w:rsidTr="00367B4C">
        <w:trPr>
          <w:trHeight w:val="371"/>
        </w:trPr>
        <w:tc>
          <w:tcPr>
            <w:tcW w:w="1390" w:type="dxa"/>
          </w:tcPr>
          <w:p w:rsidR="00367B4C" w:rsidRPr="00A805AA" w:rsidRDefault="00367B4C" w:rsidP="00367B4C">
            <w:pPr>
              <w:spacing w:line="360" w:lineRule="auto"/>
              <w:jc w:val="center"/>
            </w:pPr>
            <w:r w:rsidRPr="00A805AA">
              <w:t>Dec 2022</w:t>
            </w:r>
          </w:p>
        </w:tc>
        <w:tc>
          <w:tcPr>
            <w:tcW w:w="1390" w:type="dxa"/>
          </w:tcPr>
          <w:p w:rsidR="00367B4C" w:rsidRPr="00A805AA" w:rsidRDefault="00367B4C" w:rsidP="00367B4C">
            <w:pPr>
              <w:spacing w:line="360" w:lineRule="auto"/>
              <w:jc w:val="center"/>
            </w:pPr>
            <w:r w:rsidRPr="00A805AA">
              <w:t>2481</w:t>
            </w:r>
          </w:p>
        </w:tc>
        <w:tc>
          <w:tcPr>
            <w:tcW w:w="1391" w:type="dxa"/>
          </w:tcPr>
          <w:p w:rsidR="00367B4C" w:rsidRPr="00A805AA" w:rsidRDefault="00367B4C" w:rsidP="00367B4C">
            <w:pPr>
              <w:spacing w:line="360" w:lineRule="auto"/>
              <w:jc w:val="center"/>
            </w:pPr>
            <w:r w:rsidRPr="00A805AA">
              <w:t>6155361</w:t>
            </w:r>
          </w:p>
        </w:tc>
        <w:tc>
          <w:tcPr>
            <w:tcW w:w="1391" w:type="dxa"/>
          </w:tcPr>
          <w:p w:rsidR="00367B4C" w:rsidRPr="00A805AA" w:rsidRDefault="00367B4C" w:rsidP="00367B4C">
            <w:pPr>
              <w:spacing w:line="360" w:lineRule="auto"/>
              <w:jc w:val="center"/>
            </w:pPr>
            <w:r w:rsidRPr="00A805AA">
              <w:t>2561</w:t>
            </w:r>
          </w:p>
        </w:tc>
        <w:tc>
          <w:tcPr>
            <w:tcW w:w="1391" w:type="dxa"/>
          </w:tcPr>
          <w:p w:rsidR="00367B4C" w:rsidRPr="00A805AA" w:rsidRDefault="00367B4C" w:rsidP="00367B4C">
            <w:pPr>
              <w:spacing w:line="360" w:lineRule="auto"/>
              <w:jc w:val="center"/>
            </w:pPr>
            <w:r w:rsidRPr="00A805AA">
              <w:t>6558721</w:t>
            </w:r>
          </w:p>
        </w:tc>
        <w:tc>
          <w:tcPr>
            <w:tcW w:w="1391" w:type="dxa"/>
          </w:tcPr>
          <w:p w:rsidR="00367B4C" w:rsidRPr="00A805AA" w:rsidRDefault="00367B4C" w:rsidP="00367B4C">
            <w:pPr>
              <w:spacing w:line="360" w:lineRule="auto"/>
              <w:jc w:val="center"/>
            </w:pPr>
            <w:r w:rsidRPr="00A805AA">
              <w:t>6353841</w:t>
            </w:r>
          </w:p>
        </w:tc>
      </w:tr>
      <w:tr w:rsidR="00367B4C" w:rsidRPr="00A805AA" w:rsidTr="00367B4C">
        <w:trPr>
          <w:trHeight w:val="386"/>
        </w:trPr>
        <w:tc>
          <w:tcPr>
            <w:tcW w:w="1390" w:type="dxa"/>
          </w:tcPr>
          <w:p w:rsidR="00367B4C" w:rsidRPr="00A805AA" w:rsidRDefault="00367B4C" w:rsidP="00367B4C">
            <w:pPr>
              <w:spacing w:line="360" w:lineRule="auto"/>
              <w:jc w:val="center"/>
            </w:pPr>
            <w:r w:rsidRPr="00A805AA">
              <w:t>March 2023</w:t>
            </w:r>
          </w:p>
        </w:tc>
        <w:tc>
          <w:tcPr>
            <w:tcW w:w="1390" w:type="dxa"/>
          </w:tcPr>
          <w:p w:rsidR="00367B4C" w:rsidRPr="00A805AA" w:rsidRDefault="00367B4C" w:rsidP="00367B4C">
            <w:pPr>
              <w:spacing w:line="360" w:lineRule="auto"/>
              <w:jc w:val="center"/>
            </w:pPr>
            <w:r w:rsidRPr="00A805AA">
              <w:t>2601</w:t>
            </w:r>
          </w:p>
        </w:tc>
        <w:tc>
          <w:tcPr>
            <w:tcW w:w="1391" w:type="dxa"/>
          </w:tcPr>
          <w:p w:rsidR="00367B4C" w:rsidRPr="00A805AA" w:rsidRDefault="00367B4C" w:rsidP="00367B4C">
            <w:pPr>
              <w:spacing w:line="360" w:lineRule="auto"/>
              <w:jc w:val="center"/>
            </w:pPr>
            <w:r w:rsidRPr="00A805AA">
              <w:t>6765201</w:t>
            </w:r>
          </w:p>
        </w:tc>
        <w:tc>
          <w:tcPr>
            <w:tcW w:w="1391" w:type="dxa"/>
          </w:tcPr>
          <w:p w:rsidR="00367B4C" w:rsidRPr="00A805AA" w:rsidRDefault="00367B4C" w:rsidP="00367B4C">
            <w:pPr>
              <w:spacing w:line="360" w:lineRule="auto"/>
              <w:jc w:val="center"/>
            </w:pPr>
            <w:r w:rsidRPr="00A805AA">
              <w:t>2560</w:t>
            </w:r>
          </w:p>
        </w:tc>
        <w:tc>
          <w:tcPr>
            <w:tcW w:w="1391" w:type="dxa"/>
          </w:tcPr>
          <w:p w:rsidR="00367B4C" w:rsidRPr="00A805AA" w:rsidRDefault="00367B4C" w:rsidP="00367B4C">
            <w:pPr>
              <w:spacing w:line="360" w:lineRule="auto"/>
              <w:jc w:val="center"/>
            </w:pPr>
            <w:r w:rsidRPr="00A805AA">
              <w:t>6553600</w:t>
            </w:r>
          </w:p>
        </w:tc>
        <w:tc>
          <w:tcPr>
            <w:tcW w:w="1391" w:type="dxa"/>
          </w:tcPr>
          <w:p w:rsidR="00367B4C" w:rsidRPr="00A805AA" w:rsidRDefault="00367B4C" w:rsidP="00367B4C">
            <w:pPr>
              <w:spacing w:line="360" w:lineRule="auto"/>
              <w:jc w:val="center"/>
            </w:pPr>
            <w:r w:rsidRPr="00A805AA">
              <w:t>6658560</w:t>
            </w:r>
          </w:p>
        </w:tc>
      </w:tr>
      <w:tr w:rsidR="00367B4C" w:rsidRPr="00A805AA" w:rsidTr="00367B4C">
        <w:trPr>
          <w:trHeight w:val="371"/>
        </w:trPr>
        <w:tc>
          <w:tcPr>
            <w:tcW w:w="1390" w:type="dxa"/>
          </w:tcPr>
          <w:p w:rsidR="00367B4C" w:rsidRPr="00A805AA" w:rsidRDefault="00367B4C" w:rsidP="00367B4C">
            <w:pPr>
              <w:spacing w:line="360" w:lineRule="auto"/>
              <w:jc w:val="center"/>
            </w:pPr>
            <w:r w:rsidRPr="00A805AA">
              <w:t>June 2023</w:t>
            </w:r>
          </w:p>
        </w:tc>
        <w:tc>
          <w:tcPr>
            <w:tcW w:w="1390" w:type="dxa"/>
          </w:tcPr>
          <w:p w:rsidR="00367B4C" w:rsidRPr="00A805AA" w:rsidRDefault="00367B4C" w:rsidP="00367B4C">
            <w:pPr>
              <w:spacing w:line="360" w:lineRule="auto"/>
              <w:jc w:val="center"/>
            </w:pPr>
            <w:r w:rsidRPr="00A805AA">
              <w:t>2556</w:t>
            </w:r>
          </w:p>
        </w:tc>
        <w:tc>
          <w:tcPr>
            <w:tcW w:w="1391" w:type="dxa"/>
          </w:tcPr>
          <w:p w:rsidR="00367B4C" w:rsidRPr="00A805AA" w:rsidRDefault="00367B4C" w:rsidP="00367B4C">
            <w:pPr>
              <w:spacing w:line="360" w:lineRule="auto"/>
              <w:jc w:val="center"/>
            </w:pPr>
            <w:r w:rsidRPr="00A805AA">
              <w:t>6533136</w:t>
            </w:r>
          </w:p>
        </w:tc>
        <w:tc>
          <w:tcPr>
            <w:tcW w:w="1391" w:type="dxa"/>
          </w:tcPr>
          <w:p w:rsidR="00367B4C" w:rsidRPr="00A805AA" w:rsidRDefault="00367B4C" w:rsidP="00367B4C">
            <w:pPr>
              <w:spacing w:line="360" w:lineRule="auto"/>
              <w:jc w:val="center"/>
            </w:pPr>
            <w:r w:rsidRPr="00A805AA">
              <w:t>2678</w:t>
            </w:r>
          </w:p>
        </w:tc>
        <w:tc>
          <w:tcPr>
            <w:tcW w:w="1391" w:type="dxa"/>
          </w:tcPr>
          <w:p w:rsidR="00367B4C" w:rsidRPr="00A805AA" w:rsidRDefault="00367B4C" w:rsidP="00367B4C">
            <w:pPr>
              <w:spacing w:line="360" w:lineRule="auto"/>
              <w:jc w:val="center"/>
            </w:pPr>
            <w:r w:rsidRPr="00A805AA">
              <w:t>7171684</w:t>
            </w:r>
          </w:p>
        </w:tc>
        <w:tc>
          <w:tcPr>
            <w:tcW w:w="1391" w:type="dxa"/>
          </w:tcPr>
          <w:p w:rsidR="00367B4C" w:rsidRPr="00A805AA" w:rsidRDefault="00367B4C" w:rsidP="00367B4C">
            <w:pPr>
              <w:spacing w:line="360" w:lineRule="auto"/>
              <w:jc w:val="center"/>
            </w:pPr>
            <w:r w:rsidRPr="00A805AA">
              <w:t>6844968</w:t>
            </w:r>
          </w:p>
        </w:tc>
      </w:tr>
      <w:tr w:rsidR="00367B4C" w:rsidRPr="00A805AA" w:rsidTr="00367B4C">
        <w:trPr>
          <w:trHeight w:val="386"/>
        </w:trPr>
        <w:tc>
          <w:tcPr>
            <w:tcW w:w="1390" w:type="dxa"/>
          </w:tcPr>
          <w:p w:rsidR="00367B4C" w:rsidRPr="00A805AA" w:rsidRDefault="00367B4C" w:rsidP="00367B4C">
            <w:pPr>
              <w:spacing w:line="360" w:lineRule="auto"/>
              <w:jc w:val="center"/>
            </w:pPr>
            <w:r w:rsidRPr="00A805AA">
              <w:t>Sept 2023</w:t>
            </w:r>
          </w:p>
        </w:tc>
        <w:tc>
          <w:tcPr>
            <w:tcW w:w="1390" w:type="dxa"/>
          </w:tcPr>
          <w:p w:rsidR="00367B4C" w:rsidRPr="00A805AA" w:rsidRDefault="00367B4C" w:rsidP="00367B4C">
            <w:pPr>
              <w:spacing w:line="360" w:lineRule="auto"/>
              <w:jc w:val="center"/>
            </w:pPr>
            <w:r w:rsidRPr="00A805AA">
              <w:t>2657</w:t>
            </w:r>
          </w:p>
        </w:tc>
        <w:tc>
          <w:tcPr>
            <w:tcW w:w="1391" w:type="dxa"/>
          </w:tcPr>
          <w:p w:rsidR="00367B4C" w:rsidRPr="00A805AA" w:rsidRDefault="00367B4C" w:rsidP="00367B4C">
            <w:pPr>
              <w:spacing w:line="360" w:lineRule="auto"/>
              <w:jc w:val="center"/>
            </w:pPr>
            <w:r w:rsidRPr="00A805AA">
              <w:t>7059649</w:t>
            </w:r>
          </w:p>
        </w:tc>
        <w:tc>
          <w:tcPr>
            <w:tcW w:w="1391" w:type="dxa"/>
          </w:tcPr>
          <w:p w:rsidR="00367B4C" w:rsidRPr="00A805AA" w:rsidRDefault="00367B4C" w:rsidP="00367B4C">
            <w:pPr>
              <w:spacing w:line="360" w:lineRule="auto"/>
              <w:jc w:val="center"/>
            </w:pPr>
            <w:r w:rsidRPr="00A805AA">
              <w:t>2466</w:t>
            </w:r>
          </w:p>
        </w:tc>
        <w:tc>
          <w:tcPr>
            <w:tcW w:w="1391" w:type="dxa"/>
          </w:tcPr>
          <w:p w:rsidR="00367B4C" w:rsidRPr="00A805AA" w:rsidRDefault="00367B4C" w:rsidP="00367B4C">
            <w:pPr>
              <w:spacing w:line="360" w:lineRule="auto"/>
              <w:jc w:val="center"/>
            </w:pPr>
            <w:r w:rsidRPr="00A805AA">
              <w:t>6081156</w:t>
            </w:r>
          </w:p>
        </w:tc>
        <w:tc>
          <w:tcPr>
            <w:tcW w:w="1391" w:type="dxa"/>
          </w:tcPr>
          <w:p w:rsidR="00367B4C" w:rsidRPr="00A805AA" w:rsidRDefault="00367B4C" w:rsidP="00367B4C">
            <w:pPr>
              <w:spacing w:line="360" w:lineRule="auto"/>
              <w:jc w:val="center"/>
            </w:pPr>
            <w:r w:rsidRPr="00A805AA">
              <w:t>6552162</w:t>
            </w:r>
          </w:p>
        </w:tc>
      </w:tr>
      <w:bookmarkEnd w:id="12"/>
      <w:tr w:rsidR="00367B4C" w:rsidRPr="00A805AA" w:rsidTr="00367B4C">
        <w:trPr>
          <w:trHeight w:val="401"/>
        </w:trPr>
        <w:tc>
          <w:tcPr>
            <w:tcW w:w="1390" w:type="dxa"/>
          </w:tcPr>
          <w:p w:rsidR="00367B4C" w:rsidRPr="00A805AA" w:rsidRDefault="00367B4C" w:rsidP="00367B4C">
            <w:pPr>
              <w:spacing w:line="360" w:lineRule="auto"/>
              <w:jc w:val="center"/>
              <w:rPr>
                <w:b/>
                <w:bCs/>
              </w:rPr>
            </w:pPr>
            <w:r w:rsidRPr="00A805AA">
              <w:rPr>
                <w:b/>
                <w:bCs/>
              </w:rPr>
              <w:t>TOTAL</w:t>
            </w:r>
          </w:p>
        </w:tc>
        <w:tc>
          <w:tcPr>
            <w:tcW w:w="1390" w:type="dxa"/>
          </w:tcPr>
          <w:p w:rsidR="00367B4C" w:rsidRPr="00A805AA" w:rsidRDefault="00367B4C" w:rsidP="00367B4C">
            <w:pPr>
              <w:spacing w:line="360" w:lineRule="auto"/>
              <w:jc w:val="center"/>
              <w:rPr>
                <w:b/>
                <w:bCs/>
              </w:rPr>
            </w:pPr>
            <w:r w:rsidRPr="00A805AA">
              <w:rPr>
                <w:b/>
                <w:bCs/>
              </w:rPr>
              <w:t>22,148</w:t>
            </w:r>
          </w:p>
        </w:tc>
        <w:tc>
          <w:tcPr>
            <w:tcW w:w="1391" w:type="dxa"/>
          </w:tcPr>
          <w:p w:rsidR="00367B4C" w:rsidRPr="00A805AA" w:rsidRDefault="00367B4C" w:rsidP="00367B4C">
            <w:pPr>
              <w:spacing w:line="360" w:lineRule="auto"/>
              <w:jc w:val="center"/>
              <w:rPr>
                <w:rFonts w:ascii="Calibri" w:hAnsi="Calibri" w:cs="Calibri"/>
                <w:b/>
                <w:bCs/>
                <w:color w:val="000000"/>
              </w:rPr>
            </w:pPr>
            <w:r w:rsidRPr="00A805AA">
              <w:rPr>
                <w:rFonts w:ascii="Calibri" w:hAnsi="Calibri" w:cs="Calibri"/>
                <w:b/>
                <w:bCs/>
                <w:color w:val="000000"/>
              </w:rPr>
              <w:t>54745602</w:t>
            </w:r>
          </w:p>
        </w:tc>
        <w:tc>
          <w:tcPr>
            <w:tcW w:w="1391" w:type="dxa"/>
          </w:tcPr>
          <w:p w:rsidR="00367B4C" w:rsidRPr="00A805AA" w:rsidRDefault="00367B4C" w:rsidP="00367B4C">
            <w:pPr>
              <w:spacing w:line="360" w:lineRule="auto"/>
              <w:jc w:val="center"/>
              <w:rPr>
                <w:b/>
                <w:bCs/>
              </w:rPr>
            </w:pPr>
            <w:r w:rsidRPr="00A805AA">
              <w:rPr>
                <w:b/>
                <w:bCs/>
              </w:rPr>
              <w:t>22303</w:t>
            </w:r>
          </w:p>
        </w:tc>
        <w:tc>
          <w:tcPr>
            <w:tcW w:w="1391" w:type="dxa"/>
          </w:tcPr>
          <w:p w:rsidR="00367B4C" w:rsidRPr="00A805AA" w:rsidRDefault="00367B4C" w:rsidP="00367B4C">
            <w:pPr>
              <w:spacing w:line="360" w:lineRule="auto"/>
              <w:jc w:val="center"/>
              <w:rPr>
                <w:b/>
                <w:bCs/>
              </w:rPr>
            </w:pPr>
            <w:r w:rsidRPr="00A805AA">
              <w:rPr>
                <w:b/>
                <w:bCs/>
              </w:rPr>
              <w:t>55679743</w:t>
            </w:r>
          </w:p>
        </w:tc>
        <w:tc>
          <w:tcPr>
            <w:tcW w:w="1391" w:type="dxa"/>
          </w:tcPr>
          <w:p w:rsidR="00367B4C" w:rsidRPr="00A805AA" w:rsidRDefault="00367B4C" w:rsidP="00367B4C">
            <w:pPr>
              <w:spacing w:line="360" w:lineRule="auto"/>
              <w:jc w:val="center"/>
              <w:rPr>
                <w:b/>
                <w:bCs/>
              </w:rPr>
            </w:pPr>
            <w:r w:rsidRPr="00A805AA">
              <w:rPr>
                <w:b/>
                <w:bCs/>
              </w:rPr>
              <w:t>55001085</w:t>
            </w:r>
          </w:p>
        </w:tc>
      </w:tr>
    </w:tbl>
    <w:p w:rsidR="00367B4C" w:rsidRPr="00A805AA" w:rsidRDefault="00367B4C" w:rsidP="00367B4C">
      <w:pPr>
        <w:spacing w:line="360" w:lineRule="auto"/>
        <w:jc w:val="center"/>
      </w:pPr>
    </w:p>
    <w:p w:rsidR="00367B4C" w:rsidRPr="00A805AA" w:rsidRDefault="00367B4C" w:rsidP="00367B4C">
      <w:pPr>
        <w:spacing w:line="360" w:lineRule="auto"/>
        <w:rPr>
          <w:color w:val="040C28"/>
        </w:rPr>
      </w:pPr>
      <w:r w:rsidRPr="00A805AA">
        <w:t>The Karl Pearson’s Coefficient of correlation for Hindustan Unilever  (r)=</w:t>
      </w:r>
      <w:r w:rsidRPr="00A805AA">
        <w:rPr>
          <w:rFonts w:ascii="Arial" w:hAnsi="Arial" w:cs="Arial"/>
          <w:color w:val="040C28"/>
        </w:rPr>
        <w:t> </w:t>
      </w:r>
      <w:r w:rsidRPr="00A805AA">
        <w:rPr>
          <w:color w:val="040C28"/>
        </w:rPr>
        <w:t>0.36</w:t>
      </w:r>
    </w:p>
    <w:p w:rsidR="00367B4C" w:rsidRPr="00A805AA" w:rsidRDefault="00367B4C" w:rsidP="00367B4C">
      <w:pPr>
        <w:spacing w:line="360" w:lineRule="auto"/>
        <w:rPr>
          <w:b/>
          <w:bCs/>
          <w:color w:val="040C28"/>
        </w:rPr>
      </w:pPr>
      <w:r w:rsidRPr="00A805AA">
        <w:rPr>
          <w:b/>
          <w:bCs/>
          <w:color w:val="040C28"/>
        </w:rPr>
        <w:t>Interpretation</w:t>
      </w:r>
    </w:p>
    <w:p w:rsidR="00367B4C" w:rsidRPr="00142D08" w:rsidRDefault="00367B4C" w:rsidP="00367B4C">
      <w:pPr>
        <w:spacing w:line="360" w:lineRule="auto"/>
        <w:jc w:val="both"/>
      </w:pPr>
      <w:r w:rsidRPr="00A805AA">
        <w:lastRenderedPageBreak/>
        <w:t>The correlation between quarterly results and the share price of Hindustan Unilever is 0.36. This shows a weak positive correlation between both the variables. Here as theyshow positive correlation, the quarterly results and the share price moves in the same direction but show weaker relationship.</w:t>
      </w:r>
    </w:p>
    <w:p w:rsidR="00367B4C" w:rsidRDefault="00367B4C" w:rsidP="00367B4C">
      <w:pPr>
        <w:tabs>
          <w:tab w:val="left" w:pos="5034"/>
        </w:tabs>
        <w:spacing w:line="360" w:lineRule="auto"/>
        <w:ind w:left="208"/>
        <w:contextualSpacing/>
        <w:rPr>
          <w:b/>
          <w:bCs/>
          <w:sz w:val="28"/>
          <w:szCs w:val="28"/>
        </w:rPr>
      </w:pPr>
      <w:r>
        <w:rPr>
          <w:b/>
          <w:bCs/>
          <w:sz w:val="28"/>
          <w:szCs w:val="28"/>
        </w:rPr>
        <w:t xml:space="preserve">4.1.2 </w:t>
      </w:r>
      <w:r w:rsidRPr="00A805AA">
        <w:rPr>
          <w:b/>
          <w:bCs/>
          <w:sz w:val="28"/>
          <w:szCs w:val="28"/>
        </w:rPr>
        <w:t xml:space="preserve"> Indian Tobacco Company Ltd. (ITC Ltd.)</w:t>
      </w:r>
    </w:p>
    <w:p w:rsidR="00367B4C" w:rsidRPr="00A805AA" w:rsidRDefault="00367B4C" w:rsidP="00367B4C">
      <w:pPr>
        <w:tabs>
          <w:tab w:val="left" w:pos="5034"/>
        </w:tabs>
        <w:spacing w:line="360" w:lineRule="auto"/>
        <w:ind w:left="208"/>
        <w:contextualSpacing/>
        <w:rPr>
          <w:b/>
          <w:bCs/>
          <w:sz w:val="28"/>
          <w:szCs w:val="28"/>
        </w:rPr>
      </w:pPr>
    </w:p>
    <w:p w:rsidR="00367B4C" w:rsidRPr="00A805AA" w:rsidRDefault="00367B4C" w:rsidP="00367B4C">
      <w:pPr>
        <w:tabs>
          <w:tab w:val="left" w:pos="5034"/>
        </w:tabs>
        <w:spacing w:line="360" w:lineRule="auto"/>
        <w:jc w:val="center"/>
        <w:rPr>
          <w:b/>
          <w:bCs/>
        </w:rPr>
      </w:pPr>
      <w:r w:rsidRPr="00A805AA">
        <w:rPr>
          <w:b/>
          <w:bCs/>
        </w:rPr>
        <w:t xml:space="preserve"> Table 4.2 Karl Pearson’s coefficient of correlation between quarterly results and share prices: ITC Ltd.</w:t>
      </w:r>
    </w:p>
    <w:tbl>
      <w:tblPr>
        <w:tblW w:w="8354" w:type="dxa"/>
        <w:tblInd w:w="118" w:type="dxa"/>
        <w:tblLook w:val="04A0"/>
      </w:tblPr>
      <w:tblGrid>
        <w:gridCol w:w="1392"/>
        <w:gridCol w:w="1233"/>
        <w:gridCol w:w="1730"/>
        <w:gridCol w:w="1018"/>
        <w:gridCol w:w="1411"/>
        <w:gridCol w:w="1570"/>
      </w:tblGrid>
      <w:tr w:rsidR="00367B4C" w:rsidRPr="00A805AA" w:rsidTr="00367B4C">
        <w:trPr>
          <w:trHeight w:val="1052"/>
        </w:trPr>
        <w:tc>
          <w:tcPr>
            <w:tcW w:w="13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bookmarkStart w:id="13" w:name="RANGE!A1"/>
            <w:r w:rsidRPr="00A805AA">
              <w:rPr>
                <w:rFonts w:eastAsia="Times New Roman"/>
                <w:b/>
                <w:bCs/>
                <w:color w:val="000000"/>
                <w:kern w:val="0"/>
                <w:lang w:eastAsia="en-IN"/>
              </w:rPr>
              <w:t>Quarters</w:t>
            </w:r>
            <w:bookmarkEnd w:id="13"/>
          </w:p>
        </w:tc>
        <w:tc>
          <w:tcPr>
            <w:tcW w:w="123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Results (X)</w:t>
            </w:r>
          </w:p>
        </w:tc>
        <w:tc>
          <w:tcPr>
            <w:tcW w:w="173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X</w:t>
            </w:r>
            <w:r w:rsidRPr="00A805AA">
              <w:rPr>
                <w:rFonts w:eastAsia="Times New Roman"/>
                <w:b/>
                <w:bCs/>
                <w:color w:val="000000"/>
                <w:kern w:val="0"/>
                <w:vertAlign w:val="superscript"/>
                <w:lang w:eastAsia="en-IN"/>
              </w:rPr>
              <w:t>2</w:t>
            </w:r>
          </w:p>
        </w:tc>
        <w:tc>
          <w:tcPr>
            <w:tcW w:w="1018"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Share Price (Y)</w:t>
            </w:r>
          </w:p>
        </w:tc>
        <w:tc>
          <w:tcPr>
            <w:tcW w:w="141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Y</w:t>
            </w:r>
            <w:r w:rsidRPr="00A805AA">
              <w:rPr>
                <w:rFonts w:eastAsia="Times New Roman"/>
                <w:b/>
                <w:bCs/>
                <w:color w:val="000000"/>
                <w:kern w:val="0"/>
                <w:vertAlign w:val="superscript"/>
                <w:lang w:eastAsia="en-IN"/>
              </w:rPr>
              <w:t>2</w:t>
            </w:r>
          </w:p>
        </w:tc>
        <w:tc>
          <w:tcPr>
            <w:tcW w:w="157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XY</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3766</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14182756</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236</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55696</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888776</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4127</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17032129</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218</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47524</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899686</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4266</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18198756</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251</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63001</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1070766</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4472</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19998784</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274</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75076</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1225328</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4682</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21921124</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332</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110224</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1554424</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5080</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25806400</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332</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110224</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1686560</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5243</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27489049</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384</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147456</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2013312</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5190</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26936100</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452</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204304</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2345880</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4965</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24651225</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444</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197136</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2204460</w:t>
            </w:r>
          </w:p>
        </w:tc>
      </w:tr>
      <w:tr w:rsidR="00367B4C" w:rsidRPr="00A805AA" w:rsidTr="00367B4C">
        <w:trPr>
          <w:trHeight w:val="358"/>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TOTAL</w:t>
            </w:r>
          </w:p>
        </w:tc>
        <w:tc>
          <w:tcPr>
            <w:tcW w:w="123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41791</w:t>
            </w:r>
          </w:p>
        </w:tc>
        <w:tc>
          <w:tcPr>
            <w:tcW w:w="17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196216323</w:t>
            </w:r>
          </w:p>
        </w:tc>
        <w:tc>
          <w:tcPr>
            <w:tcW w:w="10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2923</w:t>
            </w:r>
          </w:p>
        </w:tc>
        <w:tc>
          <w:tcPr>
            <w:tcW w:w="141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1010641</w:t>
            </w:r>
          </w:p>
        </w:tc>
        <w:tc>
          <w:tcPr>
            <w:tcW w:w="157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13889192</w:t>
            </w:r>
          </w:p>
        </w:tc>
      </w:tr>
    </w:tbl>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pPr>
      <w:bookmarkStart w:id="14" w:name="_Hlk154745623"/>
      <w:r w:rsidRPr="00A805AA">
        <w:t>Karl Pearson’s coefficient of correlation for ITC (r) = 0.87</w:t>
      </w:r>
    </w:p>
    <w:p w:rsidR="00367B4C" w:rsidRPr="00A805AA" w:rsidRDefault="00367B4C" w:rsidP="00367B4C">
      <w:pPr>
        <w:tabs>
          <w:tab w:val="left" w:pos="5034"/>
        </w:tabs>
        <w:spacing w:line="360" w:lineRule="auto"/>
        <w:rPr>
          <w:b/>
          <w:bCs/>
        </w:rPr>
      </w:pPr>
      <w:r w:rsidRPr="00A805AA">
        <w:rPr>
          <w:b/>
          <w:bCs/>
        </w:rPr>
        <w:t>Interpretation</w:t>
      </w:r>
    </w:p>
    <w:p w:rsidR="00367B4C" w:rsidRPr="00A805AA" w:rsidRDefault="00367B4C" w:rsidP="00367B4C">
      <w:pPr>
        <w:tabs>
          <w:tab w:val="left" w:pos="5034"/>
        </w:tabs>
        <w:spacing w:line="360" w:lineRule="auto"/>
      </w:pPr>
      <w:r w:rsidRPr="00A805AA">
        <w:t>This suggests that the Karl Pearson’s coefficient correlation between quarterly results and share price of ITC is 0.87. this shows that both variables shows a strong positive correlation . In this case both the variables that is the share price and the quarterly results moves in the same direction. This also indicates that when the share prices increases the quarterly results also increases and vice versa.</w:t>
      </w:r>
      <w:bookmarkEnd w:id="14"/>
    </w:p>
    <w:p w:rsidR="00367B4C" w:rsidRPr="00A805AA" w:rsidRDefault="00367B4C" w:rsidP="00367B4C">
      <w:pPr>
        <w:tabs>
          <w:tab w:val="left" w:pos="5034"/>
        </w:tabs>
        <w:spacing w:line="360" w:lineRule="auto"/>
      </w:pPr>
    </w:p>
    <w:p w:rsidR="00367B4C" w:rsidRDefault="00367B4C" w:rsidP="00367B4C">
      <w:pPr>
        <w:tabs>
          <w:tab w:val="left" w:pos="5034"/>
        </w:tabs>
        <w:spacing w:line="360" w:lineRule="auto"/>
      </w:pPr>
    </w:p>
    <w:p w:rsidR="00367B4C" w:rsidRDefault="00367B4C" w:rsidP="00367B4C">
      <w:pPr>
        <w:tabs>
          <w:tab w:val="left" w:pos="5034"/>
        </w:tabs>
        <w:spacing w:line="360" w:lineRule="auto"/>
      </w:pPr>
    </w:p>
    <w:p w:rsidR="00367B4C"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rPr>
          <w:b/>
          <w:bCs/>
          <w:sz w:val="28"/>
          <w:szCs w:val="28"/>
        </w:rPr>
      </w:pPr>
      <w:bookmarkStart w:id="15" w:name="_Hlk154746416"/>
      <w:r w:rsidRPr="00A805AA">
        <w:rPr>
          <w:b/>
          <w:bCs/>
        </w:rPr>
        <w:t xml:space="preserve">4.1.3 </w:t>
      </w:r>
      <w:r w:rsidRPr="00A805AA">
        <w:rPr>
          <w:b/>
          <w:bCs/>
          <w:sz w:val="28"/>
          <w:szCs w:val="28"/>
        </w:rPr>
        <w:t xml:space="preserve">Colgate- Palmolive </w:t>
      </w:r>
    </w:p>
    <w:p w:rsidR="00367B4C" w:rsidRPr="00A805AA" w:rsidRDefault="00367B4C" w:rsidP="00367B4C">
      <w:pPr>
        <w:tabs>
          <w:tab w:val="left" w:pos="5034"/>
        </w:tabs>
        <w:spacing w:line="360" w:lineRule="auto"/>
        <w:jc w:val="center"/>
        <w:rPr>
          <w:b/>
          <w:bCs/>
        </w:rPr>
      </w:pPr>
      <w:r w:rsidRPr="00A805AA">
        <w:rPr>
          <w:b/>
          <w:bCs/>
        </w:rPr>
        <w:t>Table 4.3 Karl Pearson’s coefficient of correlation between quarterly results and share prices : Colgate- Palmolive (India) Ltd.</w:t>
      </w:r>
    </w:p>
    <w:tbl>
      <w:tblPr>
        <w:tblW w:w="8084" w:type="dxa"/>
        <w:tblInd w:w="280" w:type="dxa"/>
        <w:tblLook w:val="04A0"/>
      </w:tblPr>
      <w:tblGrid>
        <w:gridCol w:w="1387"/>
        <w:gridCol w:w="1256"/>
        <w:gridCol w:w="1434"/>
        <w:gridCol w:w="1197"/>
        <w:gridCol w:w="1404"/>
        <w:gridCol w:w="1406"/>
      </w:tblGrid>
      <w:tr w:rsidR="00367B4C" w:rsidRPr="00A805AA" w:rsidTr="00367B4C">
        <w:trPr>
          <w:trHeight w:val="1206"/>
        </w:trPr>
        <w:tc>
          <w:tcPr>
            <w:tcW w:w="1387"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15"/>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125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Results (X)</w:t>
            </w:r>
          </w:p>
        </w:tc>
        <w:tc>
          <w:tcPr>
            <w:tcW w:w="143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X</w:t>
            </w:r>
            <w:r w:rsidRPr="00A805AA">
              <w:rPr>
                <w:rFonts w:eastAsia="Times New Roman"/>
                <w:color w:val="000000"/>
                <w:kern w:val="0"/>
                <w:vertAlign w:val="superscript"/>
                <w:lang w:eastAsia="en-IN"/>
              </w:rPr>
              <w:t>2</w:t>
            </w:r>
          </w:p>
        </w:tc>
        <w:tc>
          <w:tcPr>
            <w:tcW w:w="119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Share Price (Y)</w:t>
            </w:r>
          </w:p>
        </w:tc>
        <w:tc>
          <w:tcPr>
            <w:tcW w:w="140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Y</w:t>
            </w:r>
            <w:r w:rsidRPr="00A805AA">
              <w:rPr>
                <w:rFonts w:eastAsia="Times New Roman"/>
                <w:color w:val="000000"/>
                <w:kern w:val="0"/>
                <w:vertAlign w:val="superscript"/>
                <w:lang w:eastAsia="en-IN"/>
              </w:rPr>
              <w:t>2</w:t>
            </w:r>
          </w:p>
        </w:tc>
        <w:tc>
          <w:tcPr>
            <w:tcW w:w="140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XY</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269</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72361</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1670</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2788900</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449230</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252</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63504</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1481</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2193361</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373212</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324</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104976</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1542</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2377764</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499608</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210</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44100</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1487</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2211169</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312270</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278</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77284</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1629</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2653641</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452862</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243</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59049</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1545</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2387025</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375435</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316</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99856</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1507</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2271049</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476212</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274</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75076</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1688</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2849344</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462512</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340</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115600</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2006</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4024036</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682040</w:t>
            </w:r>
          </w:p>
        </w:tc>
      </w:tr>
      <w:tr w:rsidR="00367B4C" w:rsidRPr="00A805AA" w:rsidTr="00367B4C">
        <w:trPr>
          <w:trHeight w:val="411"/>
        </w:trPr>
        <w:tc>
          <w:tcPr>
            <w:tcW w:w="1387"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TOTAL</w:t>
            </w:r>
          </w:p>
        </w:tc>
        <w:tc>
          <w:tcPr>
            <w:tcW w:w="12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2506</w:t>
            </w:r>
          </w:p>
        </w:tc>
        <w:tc>
          <w:tcPr>
            <w:tcW w:w="14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714312</w:t>
            </w:r>
          </w:p>
        </w:tc>
        <w:tc>
          <w:tcPr>
            <w:tcW w:w="11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14555</w:t>
            </w:r>
          </w:p>
        </w:tc>
        <w:tc>
          <w:tcPr>
            <w:tcW w:w="140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14555</w:t>
            </w:r>
          </w:p>
        </w:tc>
        <w:tc>
          <w:tcPr>
            <w:tcW w:w="140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4083381</w:t>
            </w:r>
          </w:p>
        </w:tc>
      </w:tr>
    </w:tbl>
    <w:p w:rsidR="00367B4C" w:rsidRPr="00A805AA" w:rsidRDefault="00367B4C" w:rsidP="00367B4C">
      <w:pPr>
        <w:tabs>
          <w:tab w:val="left" w:pos="5034"/>
        </w:tabs>
        <w:spacing w:line="360" w:lineRule="auto"/>
      </w:pPr>
    </w:p>
    <w:p w:rsidR="00367B4C" w:rsidRPr="004876EF" w:rsidRDefault="00367B4C" w:rsidP="00367B4C">
      <w:pPr>
        <w:tabs>
          <w:tab w:val="left" w:pos="5034"/>
        </w:tabs>
        <w:spacing w:line="360" w:lineRule="auto"/>
      </w:pPr>
      <w:bookmarkStart w:id="16" w:name="_Hlk154746907"/>
      <w:r w:rsidRPr="00A805AA">
        <w:t>Karl Pearson’s coefficient of correlation for Colgate-Palmolive (r)= 0.55</w:t>
      </w:r>
    </w:p>
    <w:p w:rsidR="00367B4C" w:rsidRPr="00A805AA" w:rsidRDefault="00367B4C" w:rsidP="00367B4C">
      <w:pPr>
        <w:tabs>
          <w:tab w:val="left" w:pos="5034"/>
        </w:tabs>
        <w:spacing w:line="360" w:lineRule="auto"/>
        <w:rPr>
          <w:b/>
          <w:bCs/>
        </w:rPr>
      </w:pPr>
      <w:r w:rsidRPr="00A805AA">
        <w:rPr>
          <w:b/>
          <w:bCs/>
        </w:rPr>
        <w:t>Interpretation</w:t>
      </w:r>
    </w:p>
    <w:p w:rsidR="00367B4C" w:rsidRPr="00A805AA" w:rsidRDefault="00367B4C" w:rsidP="00367B4C">
      <w:pPr>
        <w:tabs>
          <w:tab w:val="left" w:pos="5034"/>
        </w:tabs>
        <w:spacing w:line="360" w:lineRule="auto"/>
        <w:jc w:val="both"/>
      </w:pPr>
      <w:r w:rsidRPr="00A805AA">
        <w:t xml:space="preserve">This suggests that the Karl Pearson’s coefficient correlation between quarterly results and share price of Colgate-Palmolive is 0.55. This shows that both variables shows a moderately strong positive correlation . In this case both the variables that is the share price and the quarterly results moves in the same direction. This also indicates that when the share prices increases the quarterly results also increases and vice </w:t>
      </w:r>
      <w:bookmarkEnd w:id="16"/>
    </w:p>
    <w:p w:rsidR="00367B4C" w:rsidRPr="00A805AA" w:rsidRDefault="00367B4C" w:rsidP="00367B4C">
      <w:pPr>
        <w:tabs>
          <w:tab w:val="left" w:pos="5034"/>
        </w:tabs>
        <w:spacing w:line="360" w:lineRule="auto"/>
        <w:jc w:val="both"/>
      </w:pPr>
    </w:p>
    <w:p w:rsidR="00367B4C" w:rsidRPr="00A805AA" w:rsidRDefault="00367B4C" w:rsidP="00367B4C">
      <w:pPr>
        <w:tabs>
          <w:tab w:val="left" w:pos="5034"/>
        </w:tabs>
        <w:spacing w:line="360" w:lineRule="auto"/>
        <w:jc w:val="both"/>
      </w:pPr>
    </w:p>
    <w:p w:rsidR="00367B4C" w:rsidRPr="00A805AA"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Pr="00A805AA" w:rsidRDefault="00367B4C" w:rsidP="00367B4C">
      <w:pPr>
        <w:tabs>
          <w:tab w:val="left" w:pos="5034"/>
        </w:tabs>
        <w:spacing w:line="360" w:lineRule="auto"/>
        <w:jc w:val="both"/>
      </w:pPr>
    </w:p>
    <w:p w:rsidR="00367B4C" w:rsidRPr="00A805AA" w:rsidRDefault="00367B4C" w:rsidP="00367B4C">
      <w:pPr>
        <w:numPr>
          <w:ilvl w:val="2"/>
          <w:numId w:val="41"/>
        </w:numPr>
        <w:tabs>
          <w:tab w:val="left" w:pos="5034"/>
        </w:tabs>
        <w:spacing w:line="360" w:lineRule="auto"/>
        <w:contextualSpacing/>
        <w:rPr>
          <w:b/>
          <w:bCs/>
          <w:sz w:val="28"/>
          <w:szCs w:val="28"/>
        </w:rPr>
      </w:pPr>
      <w:bookmarkStart w:id="17" w:name="_Hlk154747073"/>
      <w:r w:rsidRPr="00A805AA">
        <w:rPr>
          <w:b/>
          <w:bCs/>
          <w:sz w:val="28"/>
          <w:szCs w:val="28"/>
        </w:rPr>
        <w:t xml:space="preserve">Britannia </w:t>
      </w:r>
    </w:p>
    <w:p w:rsidR="00367B4C" w:rsidRPr="00A805AA" w:rsidRDefault="00367B4C" w:rsidP="00367B4C">
      <w:pPr>
        <w:tabs>
          <w:tab w:val="left" w:pos="5034"/>
        </w:tabs>
        <w:spacing w:line="360" w:lineRule="auto"/>
        <w:ind w:left="576"/>
        <w:contextualSpacing/>
        <w:rPr>
          <w:b/>
          <w:bCs/>
        </w:rPr>
      </w:pPr>
    </w:p>
    <w:p w:rsidR="00367B4C" w:rsidRPr="00A805AA" w:rsidRDefault="00367B4C" w:rsidP="00367B4C">
      <w:pPr>
        <w:tabs>
          <w:tab w:val="left" w:pos="5034"/>
        </w:tabs>
        <w:spacing w:line="360" w:lineRule="auto"/>
        <w:ind w:left="576"/>
        <w:contextualSpacing/>
        <w:jc w:val="center"/>
        <w:rPr>
          <w:b/>
          <w:bCs/>
        </w:rPr>
      </w:pPr>
      <w:r w:rsidRPr="00A805AA">
        <w:rPr>
          <w:b/>
          <w:bCs/>
        </w:rPr>
        <w:t>Table 4.4 Karl Pearson’s coefficient of correlation between quarterly results and</w:t>
      </w:r>
      <w:bookmarkStart w:id="18" w:name="_Hlk154749940"/>
      <w:bookmarkEnd w:id="17"/>
      <w:r w:rsidRPr="00A805AA">
        <w:rPr>
          <w:b/>
          <w:bCs/>
        </w:rPr>
        <w:t>Share price : Britannia</w:t>
      </w:r>
    </w:p>
    <w:tbl>
      <w:tblPr>
        <w:tblpPr w:leftFromText="180" w:rightFromText="180" w:vertAnchor="page" w:horzAnchor="margin" w:tblpY="2965"/>
        <w:tblW w:w="8459" w:type="dxa"/>
        <w:tblLook w:val="04A0"/>
      </w:tblPr>
      <w:tblGrid>
        <w:gridCol w:w="1398"/>
        <w:gridCol w:w="1237"/>
        <w:gridCol w:w="1416"/>
        <w:gridCol w:w="1094"/>
        <w:gridCol w:w="1737"/>
        <w:gridCol w:w="1577"/>
      </w:tblGrid>
      <w:tr w:rsidR="00367B4C" w:rsidRPr="00A805AA" w:rsidTr="00367B4C">
        <w:trPr>
          <w:trHeight w:val="1259"/>
        </w:trPr>
        <w:tc>
          <w:tcPr>
            <w:tcW w:w="13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Quarters</w:t>
            </w:r>
          </w:p>
        </w:tc>
        <w:tc>
          <w:tcPr>
            <w:tcW w:w="123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Results (X)</w:t>
            </w:r>
          </w:p>
        </w:tc>
        <w:tc>
          <w:tcPr>
            <w:tcW w:w="141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X</w:t>
            </w:r>
            <w:r w:rsidRPr="00A805AA">
              <w:rPr>
                <w:rFonts w:eastAsia="Times New Roman"/>
                <w:b/>
                <w:bCs/>
                <w:color w:val="000000"/>
                <w:kern w:val="0"/>
                <w:vertAlign w:val="superscript"/>
                <w:lang w:eastAsia="en-IN"/>
              </w:rPr>
              <w:t>2</w:t>
            </w:r>
          </w:p>
        </w:tc>
        <w:tc>
          <w:tcPr>
            <w:tcW w:w="109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Share Price (Y)</w:t>
            </w:r>
          </w:p>
        </w:tc>
        <w:tc>
          <w:tcPr>
            <w:tcW w:w="173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Y</w:t>
            </w:r>
            <w:r w:rsidRPr="00A805AA">
              <w:rPr>
                <w:rFonts w:eastAsia="Times New Roman"/>
                <w:b/>
                <w:bCs/>
                <w:color w:val="000000"/>
                <w:kern w:val="0"/>
                <w:vertAlign w:val="superscript"/>
                <w:lang w:eastAsia="en-IN"/>
              </w:rPr>
              <w:t>2</w:t>
            </w:r>
          </w:p>
        </w:tc>
        <w:tc>
          <w:tcPr>
            <w:tcW w:w="157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XY</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382</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145924</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3949</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15594601</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1508518</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369</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136161</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3606</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13003236</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1330614</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378</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142884</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3206</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10278436</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1211868</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336</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112896</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3466</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12013156</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1164576</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lastRenderedPageBreak/>
              <w:t>Sep-22</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491</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241081</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3843</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14768649</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1886913</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932</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868624</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4307</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18550249</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4014124</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558</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311364</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5322</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28323684</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2969676</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455</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207025</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5025</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25250625</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2286375</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586</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343396</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4537</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20584369</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2658682</w:t>
            </w:r>
          </w:p>
        </w:tc>
      </w:tr>
      <w:tr w:rsidR="00367B4C" w:rsidRPr="00A805AA" w:rsidTr="00367B4C">
        <w:trPr>
          <w:trHeight w:val="428"/>
        </w:trPr>
        <w:tc>
          <w:tcPr>
            <w:tcW w:w="139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TOTAL</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4487</w:t>
            </w:r>
          </w:p>
        </w:tc>
        <w:tc>
          <w:tcPr>
            <w:tcW w:w="14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2509355</w:t>
            </w:r>
          </w:p>
        </w:tc>
        <w:tc>
          <w:tcPr>
            <w:tcW w:w="10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37261</w:t>
            </w:r>
          </w:p>
        </w:tc>
        <w:tc>
          <w:tcPr>
            <w:tcW w:w="17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158367005</w:t>
            </w:r>
          </w:p>
        </w:tc>
        <w:tc>
          <w:tcPr>
            <w:tcW w:w="157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19031346</w:t>
            </w:r>
          </w:p>
        </w:tc>
      </w:tr>
    </w:tbl>
    <w:p w:rsidR="00367B4C" w:rsidRPr="00A805AA" w:rsidRDefault="00367B4C" w:rsidP="00367B4C">
      <w:pPr>
        <w:tabs>
          <w:tab w:val="left" w:pos="5034"/>
        </w:tabs>
        <w:spacing w:line="360" w:lineRule="auto"/>
      </w:pPr>
    </w:p>
    <w:p w:rsidR="00367B4C" w:rsidRPr="009A37C5" w:rsidRDefault="00367B4C" w:rsidP="00367B4C">
      <w:pPr>
        <w:tabs>
          <w:tab w:val="left" w:pos="5034"/>
        </w:tabs>
        <w:spacing w:line="360" w:lineRule="auto"/>
      </w:pPr>
      <w:r w:rsidRPr="00A805AA">
        <w:t>Karl Pearson’s coefficient of correlation for Britannia (r)= 0.43</w:t>
      </w:r>
    </w:p>
    <w:p w:rsidR="00367B4C" w:rsidRPr="00A805AA" w:rsidRDefault="00367B4C" w:rsidP="00367B4C">
      <w:pPr>
        <w:tabs>
          <w:tab w:val="left" w:pos="5034"/>
        </w:tabs>
        <w:spacing w:line="360" w:lineRule="auto"/>
        <w:rPr>
          <w:b/>
          <w:bCs/>
        </w:rPr>
      </w:pPr>
      <w:r w:rsidRPr="00A805AA">
        <w:rPr>
          <w:b/>
          <w:bCs/>
        </w:rPr>
        <w:t>Interpretation</w:t>
      </w:r>
    </w:p>
    <w:p w:rsidR="00367B4C" w:rsidRPr="00A805AA" w:rsidRDefault="00367B4C" w:rsidP="00367B4C">
      <w:pPr>
        <w:tabs>
          <w:tab w:val="left" w:pos="5034"/>
        </w:tabs>
        <w:spacing w:line="360" w:lineRule="auto"/>
        <w:jc w:val="both"/>
      </w:pPr>
      <w:r w:rsidRPr="00A805AA">
        <w:t>This suggests that the Karl Pearson’s coefficient correlation between quarterly results and share price of Britannia is 0.43. This shows that both variables show a positive correlation. In this case both the variables that is the share price and the quarterly results moves in the same direction but show a weaker relationship</w:t>
      </w:r>
      <w:bookmarkEnd w:id="18"/>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Default="00367B4C" w:rsidP="00367B4C">
      <w:pPr>
        <w:tabs>
          <w:tab w:val="left" w:pos="5034"/>
        </w:tabs>
        <w:spacing w:line="360" w:lineRule="auto"/>
      </w:pPr>
    </w:p>
    <w:p w:rsidR="00367B4C" w:rsidRDefault="00367B4C" w:rsidP="00367B4C">
      <w:pPr>
        <w:tabs>
          <w:tab w:val="left" w:pos="5034"/>
        </w:tabs>
        <w:spacing w:line="360" w:lineRule="auto"/>
      </w:pPr>
    </w:p>
    <w:p w:rsidR="00367B4C"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rPr>
          <w:b/>
          <w:bCs/>
          <w:sz w:val="28"/>
          <w:szCs w:val="28"/>
        </w:rPr>
      </w:pPr>
      <w:r w:rsidRPr="00A805AA">
        <w:rPr>
          <w:b/>
          <w:bCs/>
          <w:sz w:val="28"/>
          <w:szCs w:val="28"/>
        </w:rPr>
        <w:t xml:space="preserve">4.1.5 Dabur </w:t>
      </w:r>
    </w:p>
    <w:p w:rsidR="00367B4C" w:rsidRPr="00A805AA" w:rsidRDefault="00367B4C" w:rsidP="00367B4C">
      <w:pPr>
        <w:tabs>
          <w:tab w:val="left" w:pos="5034"/>
        </w:tabs>
        <w:spacing w:line="360" w:lineRule="auto"/>
        <w:jc w:val="center"/>
        <w:rPr>
          <w:b/>
          <w:bCs/>
        </w:rPr>
      </w:pPr>
      <w:r w:rsidRPr="00A805AA">
        <w:rPr>
          <w:b/>
          <w:bCs/>
        </w:rPr>
        <w:t xml:space="preserve"> Table 4.5 Karl Pearson’s coefficient of correlation between quarterly results and share prices: Dabur India Ltd.</w:t>
      </w:r>
    </w:p>
    <w:tbl>
      <w:tblPr>
        <w:tblpPr w:leftFromText="180" w:rightFromText="180" w:vertAnchor="text" w:horzAnchor="margin" w:tblpY="74"/>
        <w:tblW w:w="8418" w:type="dxa"/>
        <w:tblLook w:val="04A0"/>
      </w:tblPr>
      <w:tblGrid>
        <w:gridCol w:w="1394"/>
        <w:gridCol w:w="1274"/>
        <w:gridCol w:w="1549"/>
        <w:gridCol w:w="1237"/>
        <w:gridCol w:w="1549"/>
        <w:gridCol w:w="1415"/>
      </w:tblGrid>
      <w:tr w:rsidR="00367B4C" w:rsidRPr="00A805AA" w:rsidTr="00367B4C">
        <w:trPr>
          <w:trHeight w:val="1156"/>
        </w:trPr>
        <w:tc>
          <w:tcPr>
            <w:tcW w:w="13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Quarters</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Results (X)</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X</w:t>
            </w:r>
            <w:r w:rsidRPr="00A805AA">
              <w:rPr>
                <w:rFonts w:eastAsia="Times New Roman"/>
                <w:b/>
                <w:bCs/>
                <w:color w:val="000000"/>
                <w:kern w:val="0"/>
                <w:vertAlign w:val="superscript"/>
                <w:lang w:eastAsia="en-IN"/>
              </w:rPr>
              <w:t>2</w:t>
            </w:r>
          </w:p>
        </w:tc>
        <w:tc>
          <w:tcPr>
            <w:tcW w:w="123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Share Price (Y)</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Y</w:t>
            </w:r>
            <w:r w:rsidRPr="00A805AA">
              <w:rPr>
                <w:rFonts w:eastAsia="Times New Roman"/>
                <w:b/>
                <w:bCs/>
                <w:color w:val="000000"/>
                <w:kern w:val="0"/>
                <w:vertAlign w:val="superscript"/>
                <w:lang w:eastAsia="en-IN"/>
              </w:rPr>
              <w:t>2</w:t>
            </w:r>
          </w:p>
        </w:tc>
        <w:tc>
          <w:tcPr>
            <w:tcW w:w="1415"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XY</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505</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255025</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617</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380689</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311585</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504</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254016</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580</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336400</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292320</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294</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86436</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536</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287296</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157584</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lastRenderedPageBreak/>
              <w:t>Jun-22</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441</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194481</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496</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246016</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218736</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491</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241081</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573</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328329</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281343</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477</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227529</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561</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314721</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267597</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293</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85849</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545</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297025</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159685</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457</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208849</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573</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328329</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261861</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507</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257049</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552</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304704</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279864</w:t>
            </w:r>
          </w:p>
        </w:tc>
      </w:tr>
      <w:tr w:rsidR="00367B4C" w:rsidRPr="00A805AA" w:rsidTr="00367B4C">
        <w:trPr>
          <w:trHeight w:val="395"/>
        </w:trPr>
        <w:tc>
          <w:tcPr>
            <w:tcW w:w="139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TOTAL</w:t>
            </w:r>
          </w:p>
        </w:tc>
        <w:tc>
          <w:tcPr>
            <w:tcW w:w="12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3969</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1810315</w:t>
            </w:r>
          </w:p>
        </w:tc>
        <w:tc>
          <w:tcPr>
            <w:tcW w:w="123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5033</w:t>
            </w:r>
          </w:p>
        </w:tc>
        <w:tc>
          <w:tcPr>
            <w:tcW w:w="15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2823509</w:t>
            </w:r>
          </w:p>
        </w:tc>
        <w:tc>
          <w:tcPr>
            <w:tcW w:w="141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2230575</w:t>
            </w:r>
          </w:p>
        </w:tc>
      </w:tr>
    </w:tbl>
    <w:p w:rsidR="00367B4C" w:rsidRPr="00A805AA" w:rsidRDefault="00367B4C" w:rsidP="00367B4C">
      <w:pPr>
        <w:tabs>
          <w:tab w:val="left" w:pos="5034"/>
        </w:tabs>
        <w:spacing w:line="360" w:lineRule="auto"/>
        <w:rPr>
          <w:b/>
          <w:bCs/>
        </w:rPr>
      </w:pPr>
    </w:p>
    <w:p w:rsidR="00367B4C" w:rsidRPr="009A37C5" w:rsidRDefault="00367B4C" w:rsidP="00367B4C">
      <w:pPr>
        <w:tabs>
          <w:tab w:val="left" w:pos="5034"/>
        </w:tabs>
        <w:spacing w:line="360" w:lineRule="auto"/>
      </w:pPr>
      <w:r w:rsidRPr="00A805AA">
        <w:t>Karl Pearson’s coefficient of correlation for Dabur (r) = 0.48</w:t>
      </w:r>
    </w:p>
    <w:p w:rsidR="00367B4C" w:rsidRPr="00A805AA" w:rsidRDefault="00367B4C" w:rsidP="00367B4C">
      <w:pPr>
        <w:tabs>
          <w:tab w:val="left" w:pos="5034"/>
        </w:tabs>
        <w:spacing w:line="360" w:lineRule="auto"/>
        <w:rPr>
          <w:b/>
          <w:bCs/>
        </w:rPr>
      </w:pPr>
      <w:r w:rsidRPr="00A805AA">
        <w:rPr>
          <w:b/>
          <w:bCs/>
        </w:rPr>
        <w:t>Interpretation</w:t>
      </w:r>
    </w:p>
    <w:p w:rsidR="00367B4C" w:rsidRPr="00A805AA" w:rsidRDefault="00367B4C" w:rsidP="00367B4C">
      <w:pPr>
        <w:tabs>
          <w:tab w:val="left" w:pos="5034"/>
        </w:tabs>
        <w:spacing w:line="360" w:lineRule="auto"/>
        <w:jc w:val="both"/>
      </w:pPr>
      <w:r w:rsidRPr="00A805AA">
        <w:t>This suggests that the Karl Pearson’s coefficient correlation between quarterly results and share price of Dabur is 0.48. This shows that both variables show a positive correlation. In this case both the variables that is the share price and the quarterly results moves in the same direction but show a weaker relationship.</w:t>
      </w:r>
    </w:p>
    <w:p w:rsidR="00367B4C" w:rsidRPr="00A805AA" w:rsidRDefault="00367B4C" w:rsidP="00367B4C">
      <w:pPr>
        <w:tabs>
          <w:tab w:val="left" w:pos="5034"/>
        </w:tabs>
        <w:spacing w:line="360" w:lineRule="auto"/>
        <w:jc w:val="both"/>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Default="00367B4C" w:rsidP="00367B4C">
      <w:pPr>
        <w:tabs>
          <w:tab w:val="left" w:pos="5034"/>
        </w:tabs>
        <w:spacing w:line="360" w:lineRule="auto"/>
      </w:pPr>
    </w:p>
    <w:p w:rsidR="00367B4C" w:rsidRDefault="00367B4C" w:rsidP="00367B4C">
      <w:pPr>
        <w:tabs>
          <w:tab w:val="left" w:pos="5034"/>
        </w:tabs>
        <w:spacing w:line="360" w:lineRule="auto"/>
      </w:pPr>
    </w:p>
    <w:p w:rsidR="00367B4C" w:rsidRDefault="00367B4C" w:rsidP="00367B4C">
      <w:pPr>
        <w:tabs>
          <w:tab w:val="left" w:pos="5034"/>
        </w:tabs>
        <w:spacing w:line="360" w:lineRule="auto"/>
        <w:rPr>
          <w:b/>
          <w:bCs/>
          <w:sz w:val="28"/>
          <w:szCs w:val="28"/>
        </w:rPr>
      </w:pPr>
    </w:p>
    <w:p w:rsidR="00367B4C" w:rsidRPr="00A805AA" w:rsidRDefault="00367B4C" w:rsidP="00367B4C">
      <w:pPr>
        <w:tabs>
          <w:tab w:val="left" w:pos="5034"/>
        </w:tabs>
        <w:spacing w:line="360" w:lineRule="auto"/>
        <w:rPr>
          <w:b/>
          <w:bCs/>
          <w:sz w:val="28"/>
          <w:szCs w:val="28"/>
        </w:rPr>
      </w:pPr>
      <w:r w:rsidRPr="00A805AA">
        <w:rPr>
          <w:b/>
          <w:bCs/>
          <w:sz w:val="28"/>
          <w:szCs w:val="28"/>
        </w:rPr>
        <w:t xml:space="preserve">4.2 Ratio Analysis </w:t>
      </w:r>
    </w:p>
    <w:p w:rsidR="00367B4C" w:rsidRPr="00A805AA" w:rsidRDefault="00367B4C" w:rsidP="00367B4C">
      <w:pPr>
        <w:tabs>
          <w:tab w:val="left" w:pos="5034"/>
        </w:tabs>
        <w:spacing w:line="360" w:lineRule="auto"/>
        <w:jc w:val="both"/>
      </w:pPr>
      <w:r w:rsidRPr="00A805AA">
        <w:t>By examining financial records like the income statement and balance sheet, ratio analysis is a quantitative way to learn about a company's liquidity, profitability, and operational effectiveness. A crucial component of equities analysis is ratio analysis. Profitability ratio is the ratio that is being employed in this study.</w:t>
      </w:r>
    </w:p>
    <w:p w:rsidR="00367B4C" w:rsidRPr="00A805AA" w:rsidRDefault="00367B4C" w:rsidP="00367B4C">
      <w:pPr>
        <w:tabs>
          <w:tab w:val="left" w:pos="5034"/>
        </w:tabs>
        <w:spacing w:line="360" w:lineRule="auto"/>
        <w:jc w:val="both"/>
      </w:pPr>
      <w:r w:rsidRPr="00A805AA">
        <w:t xml:space="preserve">The ability of a business to create income (profit) in relation to sales, balance sheet assets, operating costs, and shareholders' equity over a given time period is measured and assessed by analysts and investors using profitability ratios. They demonstrate how </w:t>
      </w:r>
      <w:r w:rsidRPr="00A805AA">
        <w:lastRenderedPageBreak/>
        <w:t>effectively a business makes use of its resources to generate revenue and value for its owners.</w:t>
      </w:r>
    </w:p>
    <w:p w:rsidR="00367B4C" w:rsidRPr="00A805AA" w:rsidRDefault="00367B4C" w:rsidP="00367B4C">
      <w:pPr>
        <w:numPr>
          <w:ilvl w:val="2"/>
          <w:numId w:val="42"/>
        </w:numPr>
        <w:tabs>
          <w:tab w:val="left" w:pos="5034"/>
        </w:tabs>
        <w:spacing w:line="360" w:lineRule="auto"/>
        <w:contextualSpacing/>
        <w:rPr>
          <w:b/>
          <w:bCs/>
          <w:sz w:val="28"/>
          <w:szCs w:val="28"/>
        </w:rPr>
      </w:pPr>
      <w:r w:rsidRPr="00A805AA">
        <w:rPr>
          <w:b/>
          <w:bCs/>
          <w:sz w:val="28"/>
          <w:szCs w:val="28"/>
        </w:rPr>
        <w:t>Profitability Ratio</w:t>
      </w:r>
    </w:p>
    <w:p w:rsidR="00367B4C" w:rsidRPr="00A805AA" w:rsidRDefault="00367B4C" w:rsidP="00367B4C">
      <w:pPr>
        <w:tabs>
          <w:tab w:val="left" w:pos="5034"/>
        </w:tabs>
        <w:spacing w:line="360" w:lineRule="auto"/>
        <w:rPr>
          <w:b/>
          <w:bCs/>
        </w:rPr>
      </w:pPr>
    </w:p>
    <w:p w:rsidR="00367B4C" w:rsidRPr="00A805AA" w:rsidRDefault="00367B4C" w:rsidP="00367B4C">
      <w:pPr>
        <w:numPr>
          <w:ilvl w:val="0"/>
          <w:numId w:val="28"/>
        </w:numPr>
        <w:tabs>
          <w:tab w:val="left" w:pos="5034"/>
        </w:tabs>
        <w:spacing w:line="360" w:lineRule="auto"/>
        <w:contextualSpacing/>
        <w:rPr>
          <w:b/>
          <w:bCs/>
          <w:sz w:val="28"/>
          <w:szCs w:val="28"/>
        </w:rPr>
      </w:pPr>
      <w:r w:rsidRPr="00A805AA">
        <w:rPr>
          <w:b/>
          <w:bCs/>
          <w:sz w:val="28"/>
          <w:szCs w:val="28"/>
        </w:rPr>
        <w:t xml:space="preserve">Net profit ratio </w:t>
      </w:r>
    </w:p>
    <w:p w:rsidR="00367B4C" w:rsidRPr="00A805AA" w:rsidRDefault="00367B4C" w:rsidP="00367B4C">
      <w:pPr>
        <w:tabs>
          <w:tab w:val="left" w:pos="5034"/>
        </w:tabs>
        <w:spacing w:line="360" w:lineRule="auto"/>
        <w:ind w:left="1236"/>
        <w:contextualSpacing/>
        <w:rPr>
          <w:b/>
          <w:bCs/>
          <w:sz w:val="28"/>
          <w:szCs w:val="28"/>
        </w:rPr>
      </w:pPr>
    </w:p>
    <w:p w:rsidR="00367B4C" w:rsidRPr="00A805AA" w:rsidRDefault="00367B4C" w:rsidP="00367B4C">
      <w:pPr>
        <w:tabs>
          <w:tab w:val="left" w:pos="5034"/>
        </w:tabs>
        <w:spacing w:line="360" w:lineRule="auto"/>
        <w:ind w:left="1236"/>
        <w:contextualSpacing/>
        <w:rPr>
          <w:b/>
          <w:bCs/>
        </w:rPr>
      </w:pPr>
      <w:r w:rsidRPr="00282454">
        <w:rPr>
          <w:b/>
          <w:bCs/>
          <w:noProof/>
        </w:rPr>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169.8pt;margin-top:16.45pt;width:145.8pt;height:.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PbvAEAAFkDAAAOAAAAZHJzL2Uyb0RvYy54bWysU8Fu2zAMvQ/YPwi6L44DJOuMOD2k6y7d&#10;FqDdBzCSbAuTRYFU4uTvJ6lJVmy3YT4IlEg+Pj7S6/vT6MTREFv0raxncymMV6it71v54+Xxw50U&#10;HMFrcOhNK8+G5f3m/bv1FBqzwAGdNiQSiOdmCq0cYgxNVbEazAg8w2B8cnZII8R0pb7SBFNCH121&#10;mM9X1YSkA6EyzOn14dUpNwW/64yK37uOTRSulYlbLCeVc5/ParOGpicIg1UXGvAPLEawPhW9QT1A&#10;BHEg+xfUaBUhYxdnCscKu84qU3pI3dTzP7p5HiCY0ksSh8NNJv5/sOrbcet3lKmrk38OT6h+svC4&#10;HcD3phB4OYc0uDpLVU2Bm1tKvnDYkdhPX1GnGDhELCqcOhozZOpPnIrY55vY5hSFSo/13bJerdJM&#10;VPJ9XC3KLCporrmBOH4xOIpstJIjge2HuEXv01SR6lIJjk8cMzNorgm5sMdH61wZrvNiauWn5WJZ&#10;Ehid1dmZw5j6/daROEJej/KVNpPnbRjhwesCNhjQny92BOte7VTc+Ys6WZC8fdzsUZ93dFUtza+w&#10;vOxaXpC395L9+4/Y/AIAAP//AwBQSwMEFAAGAAgAAAAhANpRblHeAAAACQEAAA8AAABkcnMvZG93&#10;bnJldi54bWxMj8tOwzAQRfdI/IM1SGwQdR4QkTROVSGxYElbia0bT5NAPI5ipwn9eoYV3c3j6M6Z&#10;crPYXpxx9J0jBfEqAoFUO9NRo+Cwf3t8AeGDJqN7R6jgBz1sqtubUhfGzfSB511oBIeQL7SCNoSh&#10;kNLXLVrtV25A4t3JjVYHbsdGmlHPHG57mURRJq3uiC+0esDXFuvv3WQVoJ+e42ib2+bwfpkfPpPL&#10;1zzslbq/W7ZrEAGX8A/Dnz6rQ8VORzeR8aJXkKZ5xigXSQ6CgSyNExBHHjzFIKtSXn9Q/QIAAP//&#10;AwBQSwECLQAUAAYACAAAACEAtoM4kv4AAADhAQAAEwAAAAAAAAAAAAAAAAAAAAAAW0NvbnRlbnRf&#10;VHlwZXNdLnhtbFBLAQItABQABgAIAAAAIQA4/SH/1gAAAJQBAAALAAAAAAAAAAAAAAAAAC8BAABf&#10;cmVscy8ucmVsc1BLAQItABQABgAIAAAAIQB4sTPbvAEAAFkDAAAOAAAAAAAAAAAAAAAAAC4CAABk&#10;cnMvZTJvRG9jLnhtbFBLAQItABQABgAIAAAAIQDaUW5R3gAAAAkBAAAPAAAAAAAAAAAAAAAAABYE&#10;AABkcnMvZG93bnJldi54bWxQSwUGAAAAAAQABADzAAAAIQUAAAAA&#10;"/>
        </w:pict>
      </w:r>
      <w:r w:rsidRPr="00A805AA">
        <w:rPr>
          <w:b/>
          <w:bCs/>
        </w:rPr>
        <w:t>Net profit ratio =     Net profit after tax        x100</w:t>
      </w:r>
    </w:p>
    <w:p w:rsidR="00367B4C" w:rsidRPr="00A805AA" w:rsidRDefault="00367B4C" w:rsidP="00367B4C">
      <w:pPr>
        <w:tabs>
          <w:tab w:val="left" w:pos="5034"/>
        </w:tabs>
        <w:spacing w:line="360" w:lineRule="auto"/>
        <w:ind w:left="1236"/>
        <w:contextualSpacing/>
        <w:rPr>
          <w:b/>
          <w:bCs/>
        </w:rPr>
      </w:pPr>
      <w:r w:rsidRPr="00A805AA">
        <w:rPr>
          <w:b/>
          <w:bCs/>
        </w:rPr>
        <w:t xml:space="preserve">                               Revenue from operations</w:t>
      </w:r>
    </w:p>
    <w:p w:rsidR="00367B4C" w:rsidRPr="00A805AA" w:rsidRDefault="00367B4C" w:rsidP="00367B4C">
      <w:pPr>
        <w:numPr>
          <w:ilvl w:val="0"/>
          <w:numId w:val="29"/>
        </w:numPr>
        <w:tabs>
          <w:tab w:val="left" w:pos="5034"/>
        </w:tabs>
        <w:spacing w:line="360" w:lineRule="auto"/>
        <w:contextualSpacing/>
        <w:rPr>
          <w:b/>
          <w:bCs/>
        </w:rPr>
      </w:pPr>
      <w:r w:rsidRPr="00A805AA">
        <w:rPr>
          <w:b/>
          <w:bCs/>
          <w:sz w:val="28"/>
          <w:szCs w:val="28"/>
        </w:rPr>
        <w:t>Hindustan Unilever</w:t>
      </w:r>
    </w:p>
    <w:p w:rsidR="00367B4C" w:rsidRPr="00A805AA" w:rsidRDefault="00367B4C" w:rsidP="00367B4C">
      <w:pPr>
        <w:tabs>
          <w:tab w:val="left" w:pos="5034"/>
        </w:tabs>
        <w:spacing w:line="360" w:lineRule="auto"/>
        <w:ind w:left="360"/>
        <w:rPr>
          <w:b/>
          <w:bCs/>
        </w:rPr>
      </w:pPr>
      <w:bookmarkStart w:id="19" w:name="_Hlk160990316"/>
      <w:r w:rsidRPr="00A805AA">
        <w:rPr>
          <w:b/>
          <w:bCs/>
        </w:rPr>
        <w:t>Table 4.6 : Statement showing net profit ratio: Hindustan Unilever</w:t>
      </w:r>
    </w:p>
    <w:bookmarkEnd w:id="19"/>
    <w:tbl>
      <w:tblPr>
        <w:tblW w:w="8287" w:type="dxa"/>
        <w:tblInd w:w="118" w:type="dxa"/>
        <w:tblLook w:val="04A0"/>
      </w:tblPr>
      <w:tblGrid>
        <w:gridCol w:w="1583"/>
        <w:gridCol w:w="2108"/>
        <w:gridCol w:w="2314"/>
        <w:gridCol w:w="2282"/>
      </w:tblGrid>
      <w:tr w:rsidR="00367B4C" w:rsidRPr="00A805AA" w:rsidTr="00367B4C">
        <w:trPr>
          <w:trHeight w:val="1384"/>
        </w:trPr>
        <w:tc>
          <w:tcPr>
            <w:tcW w:w="15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p>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Quarters</w:t>
            </w:r>
          </w:p>
        </w:tc>
        <w:tc>
          <w:tcPr>
            <w:tcW w:w="2108"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Net profit after tax</w:t>
            </w:r>
          </w:p>
        </w:tc>
        <w:tc>
          <w:tcPr>
            <w:tcW w:w="231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Revenue from operations</w:t>
            </w:r>
          </w:p>
        </w:tc>
        <w:tc>
          <w:tcPr>
            <w:tcW w:w="2282"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Net profit ratio</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2185</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13046</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16.75</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2300</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13439</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17.11</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2307</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13767</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16.76</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2391</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14624</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16.35</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2670</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15144</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17.63</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2481</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15597</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15.91</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2601</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15215</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17.09</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2556</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15496</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16.49</w:t>
            </w:r>
          </w:p>
        </w:tc>
      </w:tr>
      <w:tr w:rsidR="00367B4C" w:rsidRPr="00A805AA" w:rsidTr="00367B4C">
        <w:trPr>
          <w:trHeight w:val="355"/>
        </w:trPr>
        <w:tc>
          <w:tcPr>
            <w:tcW w:w="158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2657</w:t>
            </w:r>
          </w:p>
        </w:tc>
        <w:tc>
          <w:tcPr>
            <w:tcW w:w="231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15623</w:t>
            </w:r>
          </w:p>
        </w:tc>
        <w:tc>
          <w:tcPr>
            <w:tcW w:w="228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17.01</w:t>
            </w:r>
          </w:p>
        </w:tc>
      </w:tr>
    </w:tbl>
    <w:p w:rsidR="00367B4C" w:rsidRPr="00A805AA" w:rsidRDefault="00367B4C" w:rsidP="00367B4C">
      <w:pPr>
        <w:tabs>
          <w:tab w:val="left" w:pos="5034"/>
        </w:tabs>
        <w:spacing w:line="360" w:lineRule="auto"/>
        <w:rPr>
          <w:b/>
          <w:bCs/>
        </w:rPr>
      </w:pPr>
    </w:p>
    <w:p w:rsidR="00367B4C" w:rsidRDefault="00367B4C" w:rsidP="00367B4C">
      <w:pPr>
        <w:tabs>
          <w:tab w:val="left" w:pos="5034"/>
        </w:tabs>
        <w:spacing w:line="360" w:lineRule="auto"/>
        <w:jc w:val="center"/>
        <w:rPr>
          <w:b/>
          <w:bCs/>
        </w:rPr>
      </w:pPr>
    </w:p>
    <w:p w:rsidR="00367B4C" w:rsidRPr="00A805AA" w:rsidRDefault="00367B4C" w:rsidP="00367B4C">
      <w:pPr>
        <w:tabs>
          <w:tab w:val="left" w:pos="5034"/>
        </w:tabs>
        <w:spacing w:line="360" w:lineRule="auto"/>
        <w:jc w:val="center"/>
        <w:rPr>
          <w:b/>
          <w:bCs/>
        </w:rPr>
      </w:pPr>
      <w:r w:rsidRPr="00A805AA">
        <w:rPr>
          <w:b/>
          <w:bCs/>
        </w:rPr>
        <w:t>Fig 4.1 Net Profit Ratio : Hindustan Unilever</w:t>
      </w:r>
    </w:p>
    <w:p w:rsidR="00367B4C" w:rsidRPr="00A805AA" w:rsidRDefault="00367B4C" w:rsidP="00367B4C">
      <w:pPr>
        <w:tabs>
          <w:tab w:val="left" w:pos="5034"/>
        </w:tabs>
        <w:spacing w:line="360" w:lineRule="auto"/>
        <w:rPr>
          <w:b/>
          <w:bCs/>
        </w:rPr>
      </w:pPr>
      <w:r w:rsidRPr="00A805AA">
        <w:rPr>
          <w:noProof/>
          <w:lang w:val="en-US" w:bidi="ml-IN"/>
        </w:rPr>
        <w:drawing>
          <wp:anchor distT="0" distB="0" distL="114300" distR="114300" simplePos="0" relativeHeight="251670528" behindDoc="0" locked="0" layoutInCell="1" allowOverlap="1">
            <wp:simplePos x="0" y="0"/>
            <wp:positionH relativeFrom="margin">
              <wp:align>center</wp:align>
            </wp:positionH>
            <wp:positionV relativeFrom="paragraph">
              <wp:posOffset>12707</wp:posOffset>
            </wp:positionV>
            <wp:extent cx="5197642" cy="2855495"/>
            <wp:effectExtent l="0" t="0" r="3175" b="2540"/>
            <wp:wrapNone/>
            <wp:docPr id="2378176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r w:rsidRPr="00A805AA">
        <w:rPr>
          <w:b/>
          <w:bCs/>
        </w:rPr>
        <w:t>Interpretation</w:t>
      </w:r>
    </w:p>
    <w:p w:rsidR="00367B4C" w:rsidRDefault="00367B4C" w:rsidP="00367B4C">
      <w:pPr>
        <w:tabs>
          <w:tab w:val="left" w:pos="5034"/>
        </w:tabs>
        <w:spacing w:line="360" w:lineRule="auto"/>
        <w:jc w:val="both"/>
      </w:pPr>
      <w:r w:rsidRPr="00A805AA">
        <w:t>Over the previous two years, HUL's quarterly revenue has varied, with some quarters displaying larger revenue than others. September 2022 saw the greatest quarterly revenue of 1</w:t>
      </w:r>
      <w:r>
        <w:t>7</w:t>
      </w:r>
      <w:r w:rsidRPr="00A805AA">
        <w:t>.63%. December 2022 had the lowest quarterly revenue of 15.91%. Over the previous two years, HUL's quarterly revenue has, on the whole, stayed consistent. Although there have been some variations, the business's revenue has not decreased dramatically. This implies that HUL is a strong business that can withstand difficult financial times.</w:t>
      </w: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Default="00367B4C" w:rsidP="00367B4C">
      <w:pPr>
        <w:tabs>
          <w:tab w:val="left" w:pos="5034"/>
        </w:tabs>
        <w:spacing w:line="360" w:lineRule="auto"/>
        <w:jc w:val="both"/>
      </w:pPr>
    </w:p>
    <w:p w:rsidR="00367B4C" w:rsidRPr="00A805AA" w:rsidRDefault="00367B4C" w:rsidP="00367B4C">
      <w:pPr>
        <w:tabs>
          <w:tab w:val="left" w:pos="5034"/>
        </w:tabs>
        <w:spacing w:line="360" w:lineRule="auto"/>
        <w:jc w:val="both"/>
      </w:pPr>
    </w:p>
    <w:p w:rsidR="00367B4C" w:rsidRPr="00A805AA" w:rsidRDefault="00367B4C" w:rsidP="00367B4C">
      <w:pPr>
        <w:numPr>
          <w:ilvl w:val="0"/>
          <w:numId w:val="29"/>
        </w:numPr>
        <w:tabs>
          <w:tab w:val="left" w:pos="5034"/>
        </w:tabs>
        <w:spacing w:line="360" w:lineRule="auto"/>
        <w:contextualSpacing/>
        <w:rPr>
          <w:b/>
          <w:bCs/>
          <w:sz w:val="28"/>
          <w:szCs w:val="28"/>
        </w:rPr>
      </w:pPr>
      <w:r w:rsidRPr="00A805AA">
        <w:rPr>
          <w:b/>
          <w:bCs/>
          <w:sz w:val="28"/>
          <w:szCs w:val="28"/>
        </w:rPr>
        <w:t>Indian Tobacco Company</w:t>
      </w:r>
    </w:p>
    <w:p w:rsidR="00367B4C" w:rsidRPr="00A805AA" w:rsidRDefault="00367B4C" w:rsidP="00367B4C">
      <w:pPr>
        <w:tabs>
          <w:tab w:val="left" w:pos="5034"/>
        </w:tabs>
        <w:spacing w:line="360" w:lineRule="auto"/>
        <w:ind w:left="1080"/>
        <w:contextualSpacing/>
        <w:rPr>
          <w:b/>
          <w:bCs/>
          <w:sz w:val="28"/>
          <w:szCs w:val="28"/>
        </w:rPr>
      </w:pPr>
    </w:p>
    <w:p w:rsidR="00367B4C" w:rsidRPr="00A805AA" w:rsidRDefault="00367B4C" w:rsidP="00367B4C">
      <w:pPr>
        <w:tabs>
          <w:tab w:val="left" w:pos="5034"/>
        </w:tabs>
        <w:spacing w:line="360" w:lineRule="auto"/>
        <w:jc w:val="center"/>
        <w:rPr>
          <w:b/>
          <w:bCs/>
        </w:rPr>
      </w:pPr>
      <w:r w:rsidRPr="00A805AA">
        <w:rPr>
          <w:b/>
          <w:bCs/>
        </w:rPr>
        <w:t>Table 4.7 : Statement showing net profit ratio: ITC</w:t>
      </w:r>
    </w:p>
    <w:tbl>
      <w:tblPr>
        <w:tblW w:w="8063" w:type="dxa"/>
        <w:tblInd w:w="118" w:type="dxa"/>
        <w:tblLook w:val="04A0"/>
      </w:tblPr>
      <w:tblGrid>
        <w:gridCol w:w="1558"/>
        <w:gridCol w:w="2053"/>
        <w:gridCol w:w="2226"/>
        <w:gridCol w:w="2226"/>
      </w:tblGrid>
      <w:tr w:rsidR="00367B4C" w:rsidRPr="00A805AA" w:rsidTr="00367B4C">
        <w:trPr>
          <w:trHeight w:val="644"/>
        </w:trPr>
        <w:tc>
          <w:tcPr>
            <w:tcW w:w="15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Quarters</w:t>
            </w:r>
          </w:p>
        </w:tc>
        <w:tc>
          <w:tcPr>
            <w:tcW w:w="205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t xml:space="preserve">Net profit after </w:t>
            </w:r>
            <w:r w:rsidRPr="00A805AA">
              <w:rPr>
                <w:rFonts w:eastAsia="Times New Roman"/>
                <w:b/>
                <w:bCs/>
                <w:color w:val="000000"/>
                <w:kern w:val="0"/>
                <w:lang w:eastAsia="en-IN"/>
              </w:rPr>
              <w:lastRenderedPageBreak/>
              <w:t>tax</w:t>
            </w:r>
          </w:p>
        </w:tc>
        <w:tc>
          <w:tcPr>
            <w:tcW w:w="222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lastRenderedPageBreak/>
              <w:t xml:space="preserve">Revenue from </w:t>
            </w:r>
            <w:r w:rsidRPr="00A805AA">
              <w:rPr>
                <w:rFonts w:eastAsia="Times New Roman"/>
                <w:b/>
                <w:bCs/>
                <w:color w:val="000000"/>
                <w:kern w:val="0"/>
                <w:lang w:eastAsia="en-IN"/>
              </w:rPr>
              <w:lastRenderedPageBreak/>
              <w:t>operations</w:t>
            </w:r>
          </w:p>
        </w:tc>
        <w:tc>
          <w:tcPr>
            <w:tcW w:w="222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b/>
                <w:bCs/>
                <w:color w:val="000000"/>
                <w:kern w:val="0"/>
                <w:lang w:eastAsia="en-IN"/>
              </w:rPr>
            </w:pPr>
            <w:r w:rsidRPr="00A805AA">
              <w:rPr>
                <w:rFonts w:eastAsia="Times New Roman"/>
                <w:b/>
                <w:bCs/>
                <w:color w:val="000000"/>
                <w:kern w:val="0"/>
                <w:lang w:eastAsia="en-IN"/>
              </w:rPr>
              <w:lastRenderedPageBreak/>
              <w:t>Net profit ratio</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lastRenderedPageBreak/>
              <w:t>Sep-21</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3766</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13757</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27.38</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4127</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17108</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24.12</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4266</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16556</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25.77</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4472</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18489</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24.19</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4682</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17108</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27.37</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5080</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17705</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28.69</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5243</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17635</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29.73</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5190</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17164</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30.24</w:t>
            </w:r>
          </w:p>
        </w:tc>
      </w:tr>
      <w:tr w:rsidR="00367B4C" w:rsidRPr="00A805AA" w:rsidTr="00367B4C">
        <w:trPr>
          <w:trHeight w:val="328"/>
        </w:trPr>
        <w:tc>
          <w:tcPr>
            <w:tcW w:w="1558"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0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4965</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17774</w:t>
            </w:r>
          </w:p>
        </w:tc>
        <w:tc>
          <w:tcPr>
            <w:tcW w:w="22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27.93</w:t>
            </w:r>
          </w:p>
        </w:tc>
      </w:tr>
    </w:tbl>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rPr>
          <w:b/>
          <w:bCs/>
        </w:rPr>
      </w:pPr>
      <w:bookmarkStart w:id="20" w:name="_Hlk160991192"/>
      <w:r w:rsidRPr="00A805AA">
        <w:rPr>
          <w:b/>
          <w:bCs/>
        </w:rPr>
        <w:t xml:space="preserve">                              Fig 4.2 Net Profit Ratio : Indian Tobacco Company</w:t>
      </w:r>
    </w:p>
    <w:bookmarkEnd w:id="20"/>
    <w:p w:rsidR="00367B4C" w:rsidRPr="00A805AA" w:rsidRDefault="00367B4C" w:rsidP="00367B4C">
      <w:pPr>
        <w:tabs>
          <w:tab w:val="left" w:pos="5034"/>
        </w:tabs>
        <w:spacing w:line="360" w:lineRule="auto"/>
        <w:rPr>
          <w:b/>
          <w:bCs/>
        </w:rPr>
      </w:pPr>
      <w:r w:rsidRPr="00A805AA">
        <w:rPr>
          <w:noProof/>
          <w:lang w:val="en-US" w:bidi="ml-IN"/>
        </w:rPr>
        <w:drawing>
          <wp:anchor distT="0" distB="0" distL="114300" distR="114300" simplePos="0" relativeHeight="251676672" behindDoc="0" locked="0" layoutInCell="1" allowOverlap="1">
            <wp:simplePos x="0" y="0"/>
            <wp:positionH relativeFrom="column">
              <wp:posOffset>170180</wp:posOffset>
            </wp:positionH>
            <wp:positionV relativeFrom="paragraph">
              <wp:posOffset>9525</wp:posOffset>
            </wp:positionV>
            <wp:extent cx="5131647" cy="2912110"/>
            <wp:effectExtent l="0" t="0" r="0" b="0"/>
            <wp:wrapNone/>
            <wp:docPr id="101724570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Default="00367B4C" w:rsidP="00367B4C">
      <w:pPr>
        <w:tabs>
          <w:tab w:val="left" w:pos="5034"/>
        </w:tabs>
        <w:spacing w:line="360" w:lineRule="auto"/>
        <w:jc w:val="both"/>
        <w:rPr>
          <w:b/>
          <w:bCs/>
        </w:rPr>
      </w:pPr>
      <w:r w:rsidRPr="00A805AA">
        <w:rPr>
          <w:b/>
          <w:bCs/>
        </w:rPr>
        <w:t>Interpretation</w:t>
      </w:r>
      <w:r w:rsidRPr="00A805AA">
        <w:t xml:space="preserve">: ITC's net profit after taxes has improved during the last two years Although there have been some fluctuations, the net profit ratio has usually trended upward. June 2023 saw the greatest net profit ratio of 30.24%, while December 2021 saw the lowest  net profit ratio of 24.12%. Even though, there have been some variations in net profit and net profit ratio, ITC has been profitable over the last two years and has been becoming better overall. </w:t>
      </w:r>
    </w:p>
    <w:p w:rsidR="00367B4C" w:rsidRPr="009A37C5" w:rsidRDefault="00367B4C" w:rsidP="00367B4C">
      <w:pPr>
        <w:tabs>
          <w:tab w:val="left" w:pos="5034"/>
        </w:tabs>
        <w:spacing w:line="360" w:lineRule="auto"/>
        <w:jc w:val="both"/>
        <w:rPr>
          <w:b/>
          <w:bCs/>
        </w:rPr>
      </w:pPr>
    </w:p>
    <w:p w:rsidR="00367B4C" w:rsidRPr="00A805AA" w:rsidRDefault="00367B4C" w:rsidP="00367B4C">
      <w:pPr>
        <w:numPr>
          <w:ilvl w:val="0"/>
          <w:numId w:val="29"/>
        </w:numPr>
        <w:tabs>
          <w:tab w:val="left" w:pos="5034"/>
        </w:tabs>
        <w:spacing w:line="360" w:lineRule="auto"/>
        <w:contextualSpacing/>
        <w:rPr>
          <w:b/>
          <w:bCs/>
          <w:sz w:val="28"/>
          <w:szCs w:val="28"/>
        </w:rPr>
      </w:pPr>
      <w:r w:rsidRPr="00A805AA">
        <w:rPr>
          <w:b/>
          <w:bCs/>
          <w:sz w:val="28"/>
          <w:szCs w:val="28"/>
        </w:rPr>
        <w:t>Colgate-Palmolive</w:t>
      </w:r>
    </w:p>
    <w:p w:rsidR="00367B4C" w:rsidRPr="00A805AA" w:rsidRDefault="00367B4C" w:rsidP="00367B4C">
      <w:pPr>
        <w:tabs>
          <w:tab w:val="left" w:pos="5034"/>
        </w:tabs>
        <w:spacing w:line="360" w:lineRule="auto"/>
        <w:ind w:left="360"/>
        <w:rPr>
          <w:b/>
          <w:bCs/>
        </w:rPr>
      </w:pPr>
      <w:r w:rsidRPr="00A805AA">
        <w:rPr>
          <w:b/>
          <w:bCs/>
        </w:rPr>
        <w:t xml:space="preserve">             Table 4.8 : Statement showing net profit ratio: Colgate-Palmolive </w:t>
      </w:r>
    </w:p>
    <w:tbl>
      <w:tblPr>
        <w:tblW w:w="7858" w:type="dxa"/>
        <w:jc w:val="center"/>
        <w:tblLook w:val="04A0"/>
      </w:tblPr>
      <w:tblGrid>
        <w:gridCol w:w="1589"/>
        <w:gridCol w:w="1913"/>
        <w:gridCol w:w="2153"/>
        <w:gridCol w:w="2203"/>
      </w:tblGrid>
      <w:tr w:rsidR="00367B4C" w:rsidRPr="00A805AA" w:rsidTr="00367B4C">
        <w:trPr>
          <w:trHeight w:val="626"/>
          <w:jc w:val="center"/>
        </w:trPr>
        <w:tc>
          <w:tcPr>
            <w:tcW w:w="15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 </w:t>
            </w:r>
          </w:p>
        </w:tc>
        <w:tc>
          <w:tcPr>
            <w:tcW w:w="191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rPr>
                <w:rFonts w:eastAsia="Times New Roman"/>
                <w:color w:val="000000"/>
                <w:kern w:val="0"/>
                <w:lang w:eastAsia="en-IN"/>
              </w:rPr>
            </w:pPr>
            <w:r w:rsidRPr="00A805AA">
              <w:rPr>
                <w:rFonts w:eastAsia="Times New Roman"/>
                <w:color w:val="000000"/>
                <w:kern w:val="0"/>
                <w:lang w:eastAsia="en-IN"/>
              </w:rPr>
              <w:t>Net profit after tax</w:t>
            </w:r>
          </w:p>
        </w:tc>
        <w:tc>
          <w:tcPr>
            <w:tcW w:w="215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20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Net profit ratio</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269</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1352</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19.89</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252</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1280</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19.68</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324</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1301</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24.90</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210</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1197</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17.54</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278</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1387</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20.04</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243</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1291</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18.82</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316</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1351</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23.39</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274</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1324</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20.69</w:t>
            </w:r>
          </w:p>
        </w:tc>
      </w:tr>
      <w:tr w:rsidR="00367B4C" w:rsidRPr="00A805AA" w:rsidTr="00367B4C">
        <w:trPr>
          <w:trHeight w:val="319"/>
          <w:jc w:val="center"/>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340</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1471</w:t>
            </w:r>
          </w:p>
        </w:tc>
        <w:tc>
          <w:tcPr>
            <w:tcW w:w="220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23.11</w:t>
            </w:r>
          </w:p>
        </w:tc>
      </w:tr>
    </w:tbl>
    <w:p w:rsidR="00367B4C" w:rsidRPr="00A805AA" w:rsidRDefault="00367B4C" w:rsidP="00367B4C">
      <w:pPr>
        <w:tabs>
          <w:tab w:val="left" w:pos="5034"/>
        </w:tabs>
        <w:spacing w:line="360" w:lineRule="auto"/>
        <w:rPr>
          <w:b/>
          <w:bCs/>
          <w:sz w:val="28"/>
          <w:szCs w:val="28"/>
        </w:rPr>
      </w:pPr>
    </w:p>
    <w:p w:rsidR="00367B4C" w:rsidRPr="00A805AA" w:rsidRDefault="00367B4C" w:rsidP="00367B4C">
      <w:pPr>
        <w:tabs>
          <w:tab w:val="left" w:pos="5034"/>
        </w:tabs>
        <w:spacing w:line="360" w:lineRule="auto"/>
        <w:jc w:val="center"/>
        <w:rPr>
          <w:b/>
          <w:bCs/>
        </w:rPr>
      </w:pPr>
      <w:r w:rsidRPr="00A805AA">
        <w:rPr>
          <w:b/>
          <w:bCs/>
          <w:noProof/>
          <w:lang w:val="en-US" w:bidi="ml-IN"/>
        </w:rPr>
        <w:drawing>
          <wp:anchor distT="0" distB="0" distL="114300" distR="114300" simplePos="0" relativeHeight="251675648" behindDoc="0" locked="0" layoutInCell="1" allowOverlap="1">
            <wp:simplePos x="0" y="0"/>
            <wp:positionH relativeFrom="column">
              <wp:posOffset>207818</wp:posOffset>
            </wp:positionH>
            <wp:positionV relativeFrom="paragraph">
              <wp:posOffset>322926</wp:posOffset>
            </wp:positionV>
            <wp:extent cx="5198110" cy="2743200"/>
            <wp:effectExtent l="0" t="0" r="0" b="0"/>
            <wp:wrapNone/>
            <wp:docPr id="161093440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A805AA">
        <w:rPr>
          <w:b/>
          <w:bCs/>
        </w:rPr>
        <w:t>Fig 4.3 Net Profit Ratio : Colgate-Palmolive</w:t>
      </w: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Default="00367B4C" w:rsidP="00367B4C">
      <w:pPr>
        <w:tabs>
          <w:tab w:val="left" w:pos="5034"/>
        </w:tabs>
        <w:spacing w:line="360" w:lineRule="auto"/>
        <w:rPr>
          <w:b/>
          <w:bCs/>
        </w:rPr>
      </w:pPr>
    </w:p>
    <w:p w:rsidR="00367B4C" w:rsidRDefault="00367B4C" w:rsidP="00367B4C">
      <w:pPr>
        <w:tabs>
          <w:tab w:val="left" w:pos="5034"/>
        </w:tabs>
        <w:spacing w:line="360" w:lineRule="auto"/>
        <w:rPr>
          <w:b/>
          <w:bCs/>
        </w:rPr>
      </w:pPr>
    </w:p>
    <w:p w:rsidR="00367B4C"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jc w:val="both"/>
      </w:pPr>
      <w:r w:rsidRPr="00A805AA">
        <w:rPr>
          <w:b/>
          <w:bCs/>
        </w:rPr>
        <w:t>Interpretation:</w:t>
      </w:r>
      <w:r w:rsidRPr="00A805AA">
        <w:t xml:space="preserve"> Over the previous nine quarters, Colgate-Palmolive's net profit ratio has also varied, but it was between 19% to 24%. In March 2022, the greatest net profit ratio recorded was 24.90%, while in June 2022, the lowest was 17.54%.Colgate-</w:t>
      </w:r>
      <w:r w:rsidRPr="00A805AA">
        <w:lastRenderedPageBreak/>
        <w:t xml:space="preserve">Palmolive's business appears to have remained mostly constant throughout the previous nine quarters, according to the data. While net profit after taxes has been trending upward, operating revenue has remained unchanged. </w:t>
      </w:r>
    </w:p>
    <w:p w:rsidR="00367B4C" w:rsidRPr="00A805AA" w:rsidRDefault="00367B4C" w:rsidP="00367B4C">
      <w:pPr>
        <w:tabs>
          <w:tab w:val="left" w:pos="5034"/>
        </w:tabs>
        <w:spacing w:line="360" w:lineRule="auto"/>
      </w:pPr>
    </w:p>
    <w:p w:rsidR="00367B4C" w:rsidRPr="00A805AA" w:rsidRDefault="00367B4C" w:rsidP="00367B4C">
      <w:pPr>
        <w:numPr>
          <w:ilvl w:val="0"/>
          <w:numId w:val="29"/>
        </w:numPr>
        <w:tabs>
          <w:tab w:val="left" w:pos="5034"/>
        </w:tabs>
        <w:spacing w:line="360" w:lineRule="auto"/>
        <w:contextualSpacing/>
        <w:rPr>
          <w:b/>
          <w:bCs/>
          <w:sz w:val="28"/>
          <w:szCs w:val="28"/>
        </w:rPr>
      </w:pPr>
      <w:r w:rsidRPr="00A805AA">
        <w:rPr>
          <w:b/>
          <w:bCs/>
          <w:sz w:val="28"/>
          <w:szCs w:val="28"/>
        </w:rPr>
        <w:t>Britannia</w:t>
      </w:r>
    </w:p>
    <w:p w:rsidR="00367B4C" w:rsidRPr="00A805AA" w:rsidRDefault="00367B4C" w:rsidP="00367B4C">
      <w:pPr>
        <w:tabs>
          <w:tab w:val="left" w:pos="5034"/>
        </w:tabs>
        <w:spacing w:line="360" w:lineRule="auto"/>
        <w:ind w:left="360"/>
        <w:rPr>
          <w:b/>
          <w:bCs/>
        </w:rPr>
      </w:pPr>
      <w:r w:rsidRPr="00A805AA">
        <w:rPr>
          <w:b/>
          <w:bCs/>
        </w:rPr>
        <w:t xml:space="preserve">                     Table 4.9: Statement showing net profit ratio: Britannia</w:t>
      </w:r>
    </w:p>
    <w:tbl>
      <w:tblPr>
        <w:tblW w:w="8251" w:type="dxa"/>
        <w:tblInd w:w="118" w:type="dxa"/>
        <w:tblLook w:val="04A0"/>
      </w:tblPr>
      <w:tblGrid>
        <w:gridCol w:w="1451"/>
        <w:gridCol w:w="2146"/>
        <w:gridCol w:w="2327"/>
        <w:gridCol w:w="2327"/>
      </w:tblGrid>
      <w:tr w:rsidR="00367B4C" w:rsidRPr="00A805AA" w:rsidTr="00367B4C">
        <w:trPr>
          <w:trHeight w:val="736"/>
        </w:trPr>
        <w:tc>
          <w:tcPr>
            <w:tcW w:w="14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 </w:t>
            </w:r>
          </w:p>
        </w:tc>
        <w:tc>
          <w:tcPr>
            <w:tcW w:w="214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rPr>
                <w:rFonts w:eastAsia="Times New Roman"/>
                <w:color w:val="000000"/>
                <w:kern w:val="0"/>
                <w:lang w:eastAsia="en-IN"/>
              </w:rPr>
            </w:pPr>
            <w:r w:rsidRPr="00A805AA">
              <w:rPr>
                <w:rFonts w:eastAsia="Times New Roman"/>
                <w:color w:val="000000"/>
                <w:kern w:val="0"/>
                <w:lang w:eastAsia="en-IN"/>
              </w:rPr>
              <w:t>Net profit after tax</w:t>
            </w:r>
          </w:p>
        </w:tc>
        <w:tc>
          <w:tcPr>
            <w:tcW w:w="232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32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Net profit ratio</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382</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3049</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12.53</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369</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3036</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12.15</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378</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3001</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12.60</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336</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3200</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10.5</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491</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3668</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13.39</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932</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3379</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27.58</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558</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3222</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17.32</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455</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3322</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13.70</w:t>
            </w:r>
          </w:p>
        </w:tc>
      </w:tr>
      <w:tr w:rsidR="00367B4C" w:rsidRPr="00A805AA" w:rsidTr="00367B4C">
        <w:trPr>
          <w:trHeight w:val="375"/>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1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586</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3562</w:t>
            </w:r>
          </w:p>
        </w:tc>
        <w:tc>
          <w:tcPr>
            <w:tcW w:w="23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16.45</w:t>
            </w:r>
          </w:p>
        </w:tc>
      </w:tr>
    </w:tbl>
    <w:p w:rsidR="00367B4C" w:rsidRPr="00A805AA" w:rsidRDefault="00367B4C" w:rsidP="00367B4C">
      <w:pPr>
        <w:tabs>
          <w:tab w:val="left" w:pos="5034"/>
        </w:tabs>
        <w:spacing w:line="360" w:lineRule="auto"/>
        <w:rPr>
          <w:b/>
          <w:bCs/>
          <w:sz w:val="28"/>
          <w:szCs w:val="28"/>
        </w:rPr>
      </w:pPr>
    </w:p>
    <w:p w:rsidR="00367B4C" w:rsidRPr="00A805AA" w:rsidRDefault="00367B4C" w:rsidP="00367B4C">
      <w:pPr>
        <w:tabs>
          <w:tab w:val="left" w:pos="5034"/>
        </w:tabs>
        <w:spacing w:line="360" w:lineRule="auto"/>
        <w:jc w:val="center"/>
        <w:rPr>
          <w:b/>
          <w:bCs/>
        </w:rPr>
      </w:pPr>
      <w:r w:rsidRPr="00A805AA">
        <w:rPr>
          <w:noProof/>
          <w:lang w:val="en-US" w:bidi="ml-IN"/>
        </w:rPr>
        <w:drawing>
          <wp:anchor distT="0" distB="0" distL="114300" distR="114300" simplePos="0" relativeHeight="251681792" behindDoc="0" locked="0" layoutInCell="1" allowOverlap="1">
            <wp:simplePos x="0" y="0"/>
            <wp:positionH relativeFrom="margin">
              <wp:align>left</wp:align>
            </wp:positionH>
            <wp:positionV relativeFrom="paragraph">
              <wp:posOffset>227330</wp:posOffset>
            </wp:positionV>
            <wp:extent cx="5216236" cy="2660072"/>
            <wp:effectExtent l="0" t="0" r="3810" b="6985"/>
            <wp:wrapNone/>
            <wp:docPr id="16400567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A805AA">
        <w:rPr>
          <w:b/>
          <w:bCs/>
        </w:rPr>
        <w:t>Fig 4.4: Net Profit Ratio :Britannia</w:t>
      </w: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Default="00367B4C" w:rsidP="00367B4C">
      <w:pPr>
        <w:tabs>
          <w:tab w:val="left" w:pos="5034"/>
        </w:tabs>
        <w:spacing w:line="360" w:lineRule="auto"/>
        <w:jc w:val="both"/>
        <w:rPr>
          <w:b/>
          <w:bCs/>
        </w:rPr>
      </w:pPr>
    </w:p>
    <w:p w:rsidR="00367B4C" w:rsidRPr="00A805AA" w:rsidRDefault="00367B4C" w:rsidP="00367B4C">
      <w:pPr>
        <w:tabs>
          <w:tab w:val="left" w:pos="5034"/>
        </w:tabs>
        <w:spacing w:line="360" w:lineRule="auto"/>
        <w:jc w:val="both"/>
        <w:rPr>
          <w:b/>
          <w:bCs/>
        </w:rPr>
      </w:pPr>
    </w:p>
    <w:p w:rsidR="00367B4C" w:rsidRPr="00A805AA" w:rsidRDefault="00367B4C" w:rsidP="00367B4C">
      <w:pPr>
        <w:tabs>
          <w:tab w:val="left" w:pos="5034"/>
        </w:tabs>
        <w:spacing w:line="360" w:lineRule="auto"/>
        <w:jc w:val="both"/>
      </w:pPr>
      <w:r w:rsidRPr="00A805AA">
        <w:rPr>
          <w:b/>
          <w:bCs/>
        </w:rPr>
        <w:t>Interpretation:</w:t>
      </w:r>
      <w:r w:rsidRPr="00A805AA">
        <w:t xml:space="preserve"> Throughout the last nine quarters, Britannia's net profit ratio has varied, but it typically ranged from 10% to 17%. In December 2022, the net profit ratio reached </w:t>
      </w:r>
      <w:r w:rsidRPr="00A805AA">
        <w:lastRenderedPageBreak/>
        <w:t xml:space="preserve">its maximum of 27.58%,and  in June 2022,  it declined to 10.50%.The table as a whole indicates that throughout the previous nine quarters, Britannia's business has faced certain difficulties. It has been declining for both operating revenue and net profit after taxes. The net profit after tax  however, significantly increased in December 2022, which would indicate a resurgence. </w:t>
      </w:r>
    </w:p>
    <w:p w:rsidR="00367B4C" w:rsidRPr="00A805AA" w:rsidRDefault="00367B4C" w:rsidP="00367B4C">
      <w:pPr>
        <w:tabs>
          <w:tab w:val="left" w:pos="5034"/>
        </w:tabs>
        <w:spacing w:line="360" w:lineRule="auto"/>
        <w:jc w:val="both"/>
      </w:pPr>
    </w:p>
    <w:p w:rsidR="00367B4C" w:rsidRPr="00A805AA" w:rsidRDefault="00367B4C" w:rsidP="00367B4C">
      <w:pPr>
        <w:tabs>
          <w:tab w:val="left" w:pos="5034"/>
        </w:tabs>
        <w:spacing w:line="360" w:lineRule="auto"/>
        <w:jc w:val="both"/>
        <w:rPr>
          <w:b/>
          <w:bCs/>
        </w:rPr>
      </w:pPr>
      <w:r w:rsidRPr="00A805AA">
        <w:rPr>
          <w:b/>
          <w:bCs/>
        </w:rPr>
        <w:t xml:space="preserve">V. </w:t>
      </w:r>
      <w:r w:rsidRPr="00A805AA">
        <w:rPr>
          <w:b/>
          <w:bCs/>
          <w:sz w:val="28"/>
          <w:szCs w:val="28"/>
        </w:rPr>
        <w:t>Dabur</w:t>
      </w:r>
    </w:p>
    <w:p w:rsidR="00367B4C" w:rsidRPr="00A805AA" w:rsidRDefault="00367B4C" w:rsidP="00367B4C">
      <w:pPr>
        <w:tabs>
          <w:tab w:val="left" w:pos="5034"/>
        </w:tabs>
        <w:spacing w:line="360" w:lineRule="auto"/>
        <w:ind w:left="720"/>
        <w:rPr>
          <w:b/>
          <w:bCs/>
        </w:rPr>
      </w:pPr>
      <w:r w:rsidRPr="00A805AA">
        <w:rPr>
          <w:b/>
          <w:bCs/>
        </w:rPr>
        <w:t xml:space="preserve">              Table 4.10 : Statement showing net profit ratio: Dabur</w:t>
      </w:r>
    </w:p>
    <w:tbl>
      <w:tblPr>
        <w:tblW w:w="8275" w:type="dxa"/>
        <w:tblInd w:w="118" w:type="dxa"/>
        <w:tblLook w:val="04A0"/>
      </w:tblPr>
      <w:tblGrid>
        <w:gridCol w:w="1454"/>
        <w:gridCol w:w="2153"/>
        <w:gridCol w:w="2334"/>
        <w:gridCol w:w="2334"/>
      </w:tblGrid>
      <w:tr w:rsidR="00367B4C" w:rsidRPr="00A805AA" w:rsidTr="00367B4C">
        <w:trPr>
          <w:trHeight w:val="839"/>
        </w:trPr>
        <w:tc>
          <w:tcPr>
            <w:tcW w:w="14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Quarters </w:t>
            </w:r>
          </w:p>
        </w:tc>
        <w:tc>
          <w:tcPr>
            <w:tcW w:w="215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rPr>
                <w:rFonts w:eastAsia="Times New Roman"/>
                <w:color w:val="000000"/>
                <w:kern w:val="0"/>
                <w:lang w:eastAsia="en-IN"/>
              </w:rPr>
            </w:pPr>
            <w:r w:rsidRPr="00A805AA">
              <w:rPr>
                <w:rFonts w:eastAsia="Times New Roman"/>
                <w:color w:val="000000"/>
                <w:kern w:val="0"/>
                <w:lang w:eastAsia="en-IN"/>
              </w:rPr>
              <w:t>Net profit after tax</w:t>
            </w:r>
          </w:p>
        </w:tc>
        <w:tc>
          <w:tcPr>
            <w:tcW w:w="233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33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Net profit ratio</w:t>
            </w:r>
          </w:p>
          <w:p w:rsidR="00367B4C" w:rsidRPr="00A805AA" w:rsidRDefault="00367B4C" w:rsidP="00367B4C">
            <w:pPr>
              <w:spacing w:after="0" w:line="240" w:lineRule="auto"/>
              <w:jc w:val="center"/>
              <w:rPr>
                <w:rFonts w:eastAsia="Times New Roman"/>
                <w:color w:val="000000"/>
                <w:kern w:val="0"/>
                <w:lang w:eastAsia="en-IN"/>
              </w:rPr>
            </w:pP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2818</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17.92</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504</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2942</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17.13</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294</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2518</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11.67</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441</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2822</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15.63</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491</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2986</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16.44</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477</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3043</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15.68</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293</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2678</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10.94</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457</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3130</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14.60</w:t>
            </w:r>
          </w:p>
        </w:tc>
      </w:tr>
      <w:tr w:rsidR="00367B4C" w:rsidRPr="00A805AA" w:rsidTr="00367B4C">
        <w:trPr>
          <w:trHeight w:val="427"/>
        </w:trPr>
        <w:tc>
          <w:tcPr>
            <w:tcW w:w="14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1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507</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3204</w:t>
            </w:r>
          </w:p>
        </w:tc>
        <w:tc>
          <w:tcPr>
            <w:tcW w:w="23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15.82</w:t>
            </w:r>
          </w:p>
        </w:tc>
      </w:tr>
    </w:tbl>
    <w:p w:rsidR="00367B4C" w:rsidRPr="00A805AA" w:rsidRDefault="00367B4C" w:rsidP="00367B4C">
      <w:pPr>
        <w:tabs>
          <w:tab w:val="left" w:pos="5034"/>
        </w:tabs>
        <w:spacing w:line="360" w:lineRule="auto"/>
        <w:rPr>
          <w:b/>
          <w:bCs/>
          <w:sz w:val="28"/>
          <w:szCs w:val="28"/>
        </w:rPr>
      </w:pPr>
    </w:p>
    <w:p w:rsidR="00367B4C" w:rsidRPr="00A805AA" w:rsidRDefault="00367B4C" w:rsidP="00367B4C">
      <w:pPr>
        <w:tabs>
          <w:tab w:val="left" w:pos="5034"/>
        </w:tabs>
        <w:spacing w:line="360" w:lineRule="auto"/>
        <w:jc w:val="center"/>
        <w:rPr>
          <w:b/>
          <w:bCs/>
        </w:rPr>
      </w:pPr>
      <w:r w:rsidRPr="00A805AA">
        <w:rPr>
          <w:noProof/>
          <w:lang w:val="en-US" w:bidi="ml-IN"/>
        </w:rPr>
        <w:drawing>
          <wp:anchor distT="0" distB="0" distL="114300" distR="114300" simplePos="0" relativeHeight="251682816" behindDoc="0" locked="0" layoutInCell="1" allowOverlap="1">
            <wp:simplePos x="0" y="0"/>
            <wp:positionH relativeFrom="margin">
              <wp:posOffset>220980</wp:posOffset>
            </wp:positionH>
            <wp:positionV relativeFrom="paragraph">
              <wp:posOffset>208281</wp:posOffset>
            </wp:positionV>
            <wp:extent cx="4975860" cy="2400300"/>
            <wp:effectExtent l="0" t="0" r="15240" b="0"/>
            <wp:wrapNone/>
            <wp:docPr id="21399319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A805AA">
        <w:rPr>
          <w:b/>
          <w:bCs/>
        </w:rPr>
        <w:t>Fig 4.5 Net Profit Ratio : Dabur</w:t>
      </w:r>
    </w:p>
    <w:p w:rsidR="00367B4C" w:rsidRPr="00A805AA" w:rsidRDefault="00367B4C" w:rsidP="00367B4C">
      <w:pPr>
        <w:tabs>
          <w:tab w:val="left" w:pos="5034"/>
        </w:tabs>
        <w:spacing w:line="360" w:lineRule="auto"/>
        <w:jc w:val="center"/>
      </w:pPr>
    </w:p>
    <w:p w:rsidR="00367B4C" w:rsidRPr="00A805AA" w:rsidRDefault="00367B4C" w:rsidP="00367B4C">
      <w:pPr>
        <w:tabs>
          <w:tab w:val="left" w:pos="5034"/>
        </w:tabs>
        <w:spacing w:line="360" w:lineRule="auto"/>
        <w:jc w:val="center"/>
      </w:pPr>
    </w:p>
    <w:p w:rsidR="00367B4C" w:rsidRPr="00A805AA" w:rsidRDefault="00367B4C" w:rsidP="00367B4C">
      <w:pPr>
        <w:tabs>
          <w:tab w:val="left" w:pos="5034"/>
        </w:tabs>
        <w:spacing w:line="360" w:lineRule="auto"/>
        <w:jc w:val="center"/>
      </w:pPr>
    </w:p>
    <w:p w:rsidR="00367B4C" w:rsidRPr="00A805AA" w:rsidRDefault="00367B4C" w:rsidP="00367B4C">
      <w:pPr>
        <w:tabs>
          <w:tab w:val="left" w:pos="5034"/>
        </w:tabs>
        <w:spacing w:line="360" w:lineRule="auto"/>
        <w:jc w:val="center"/>
      </w:pPr>
    </w:p>
    <w:p w:rsidR="00367B4C" w:rsidRPr="00A805AA" w:rsidRDefault="00367B4C" w:rsidP="00367B4C">
      <w:pPr>
        <w:tabs>
          <w:tab w:val="left" w:pos="5034"/>
        </w:tabs>
        <w:spacing w:line="360" w:lineRule="auto"/>
        <w:jc w:val="center"/>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jc w:val="both"/>
      </w:pPr>
      <w:r w:rsidRPr="00A805AA">
        <w:rPr>
          <w:b/>
          <w:bCs/>
        </w:rPr>
        <w:lastRenderedPageBreak/>
        <w:t>Interpretation:</w:t>
      </w:r>
      <w:r w:rsidRPr="00A805AA">
        <w:t xml:space="preserve"> Although it has varied over time, September 2021 saw the greatest net profit ratio of 17.92%, while March 2023 saw the lowest at 10.94%.The table indicates that, on the whole, Dabur's operations have expanded during the previous nine quarters. Even though, there have been some variations in the net profit ratio and net profit after taxes. Numerous factors, including shifts in the Indian economy, competition, and Dabur's product mix, could be the cause of these oscillations.</w:t>
      </w:r>
    </w:p>
    <w:p w:rsidR="00367B4C" w:rsidRPr="00A805AA" w:rsidRDefault="00367B4C" w:rsidP="00367B4C">
      <w:pPr>
        <w:tabs>
          <w:tab w:val="left" w:pos="5034"/>
        </w:tabs>
        <w:spacing w:line="360" w:lineRule="auto"/>
        <w:jc w:val="both"/>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Default="00367B4C" w:rsidP="00367B4C">
      <w:pPr>
        <w:tabs>
          <w:tab w:val="left" w:pos="5034"/>
        </w:tabs>
        <w:spacing w:line="360" w:lineRule="auto"/>
      </w:pPr>
    </w:p>
    <w:p w:rsidR="00367B4C" w:rsidRPr="00A805AA" w:rsidRDefault="00367B4C" w:rsidP="00367B4C">
      <w:pPr>
        <w:tabs>
          <w:tab w:val="left" w:pos="5034"/>
        </w:tabs>
        <w:spacing w:line="360" w:lineRule="auto"/>
      </w:pPr>
    </w:p>
    <w:p w:rsidR="00367B4C" w:rsidRPr="005E37B1" w:rsidRDefault="00367B4C" w:rsidP="00367B4C">
      <w:pPr>
        <w:pStyle w:val="ListParagraph"/>
        <w:numPr>
          <w:ilvl w:val="0"/>
          <w:numId w:val="28"/>
        </w:numPr>
        <w:tabs>
          <w:tab w:val="left" w:pos="5034"/>
        </w:tabs>
        <w:spacing w:line="360" w:lineRule="auto"/>
        <w:rPr>
          <w:b/>
          <w:bCs/>
          <w:sz w:val="28"/>
          <w:szCs w:val="28"/>
        </w:rPr>
      </w:pPr>
      <w:r w:rsidRPr="005E37B1">
        <w:rPr>
          <w:b/>
          <w:bCs/>
          <w:sz w:val="28"/>
          <w:szCs w:val="28"/>
        </w:rPr>
        <w:t>Operating Profit Ratio</w:t>
      </w:r>
    </w:p>
    <w:p w:rsidR="00367B4C" w:rsidRPr="00A805AA" w:rsidRDefault="00367B4C" w:rsidP="00367B4C">
      <w:pPr>
        <w:tabs>
          <w:tab w:val="left" w:pos="5034"/>
        </w:tabs>
        <w:spacing w:line="360" w:lineRule="auto"/>
        <w:ind w:left="1236"/>
        <w:contextualSpacing/>
        <w:rPr>
          <w:b/>
          <w:bCs/>
          <w:sz w:val="28"/>
          <w:szCs w:val="28"/>
        </w:rPr>
      </w:pPr>
      <w:r w:rsidRPr="00A805AA">
        <w:rPr>
          <w:rFonts w:ascii="Arial" w:hAnsi="Arial" w:cs="Arial"/>
          <w:color w:val="1F1F1F"/>
          <w:shd w:val="clear" w:color="auto" w:fill="FFFFFF"/>
        </w:rPr>
        <w:t>Operating Profit Ratio = Operating Profit / Net Sales * 100</w:t>
      </w:r>
    </w:p>
    <w:p w:rsidR="00367B4C" w:rsidRPr="00A805AA" w:rsidRDefault="00367B4C" w:rsidP="00367B4C">
      <w:pPr>
        <w:tabs>
          <w:tab w:val="left" w:pos="5034"/>
        </w:tabs>
        <w:spacing w:line="360" w:lineRule="auto"/>
        <w:ind w:left="1080"/>
        <w:contextualSpacing/>
        <w:rPr>
          <w:b/>
          <w:bCs/>
          <w:sz w:val="28"/>
          <w:szCs w:val="28"/>
        </w:rPr>
      </w:pPr>
    </w:p>
    <w:p w:rsidR="00367B4C" w:rsidRPr="00A805AA" w:rsidRDefault="00367B4C" w:rsidP="00367B4C">
      <w:pPr>
        <w:numPr>
          <w:ilvl w:val="0"/>
          <w:numId w:val="30"/>
        </w:numPr>
        <w:tabs>
          <w:tab w:val="left" w:pos="5034"/>
        </w:tabs>
        <w:spacing w:line="360" w:lineRule="auto"/>
        <w:contextualSpacing/>
        <w:rPr>
          <w:b/>
          <w:bCs/>
          <w:sz w:val="28"/>
          <w:szCs w:val="28"/>
        </w:rPr>
      </w:pPr>
      <w:r w:rsidRPr="00A805AA">
        <w:rPr>
          <w:b/>
          <w:bCs/>
          <w:sz w:val="28"/>
          <w:szCs w:val="28"/>
        </w:rPr>
        <w:t>Hindustan Unilever</w:t>
      </w:r>
    </w:p>
    <w:p w:rsidR="00367B4C" w:rsidRPr="00A805AA" w:rsidRDefault="00367B4C" w:rsidP="00367B4C">
      <w:pPr>
        <w:tabs>
          <w:tab w:val="left" w:pos="5034"/>
        </w:tabs>
        <w:spacing w:line="360" w:lineRule="auto"/>
        <w:ind w:left="360"/>
        <w:jc w:val="center"/>
        <w:rPr>
          <w:b/>
          <w:bCs/>
        </w:rPr>
      </w:pPr>
      <w:r w:rsidRPr="00A805AA">
        <w:rPr>
          <w:b/>
          <w:bCs/>
        </w:rPr>
        <w:t>Table 4.11 Statement showing Operating Profit ratio: Hindustan Unilever</w:t>
      </w:r>
    </w:p>
    <w:tbl>
      <w:tblPr>
        <w:tblW w:w="8235" w:type="dxa"/>
        <w:tblInd w:w="118" w:type="dxa"/>
        <w:tblLook w:val="04A0"/>
      </w:tblPr>
      <w:tblGrid>
        <w:gridCol w:w="1745"/>
        <w:gridCol w:w="2200"/>
        <w:gridCol w:w="2216"/>
        <w:gridCol w:w="2074"/>
      </w:tblGrid>
      <w:tr w:rsidR="00367B4C" w:rsidRPr="00A805AA" w:rsidTr="00367B4C">
        <w:trPr>
          <w:trHeight w:val="847"/>
        </w:trPr>
        <w:tc>
          <w:tcPr>
            <w:tcW w:w="17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22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07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ratio</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3226</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13046</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24.72</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3409</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13439</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25.37</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3301</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13767</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23.98</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3402</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14624</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23.26</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3479</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15144</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22.97</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3694</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15597</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23.68</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3573</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15215</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23.48</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3664</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15496</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23.64</w:t>
            </w:r>
          </w:p>
        </w:tc>
      </w:tr>
      <w:tr w:rsidR="00367B4C" w:rsidRPr="00A805AA" w:rsidTr="00367B4C">
        <w:trPr>
          <w:trHeight w:val="288"/>
        </w:trPr>
        <w:tc>
          <w:tcPr>
            <w:tcW w:w="174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2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3795</w:t>
            </w:r>
          </w:p>
        </w:tc>
        <w:tc>
          <w:tcPr>
            <w:tcW w:w="221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15623</w:t>
            </w:r>
          </w:p>
        </w:tc>
        <w:tc>
          <w:tcPr>
            <w:tcW w:w="207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24.29</w:t>
            </w:r>
          </w:p>
        </w:tc>
      </w:tr>
    </w:tbl>
    <w:p w:rsidR="00367B4C" w:rsidRPr="00A805AA" w:rsidRDefault="00367B4C" w:rsidP="00367B4C">
      <w:pPr>
        <w:tabs>
          <w:tab w:val="left" w:pos="5034"/>
        </w:tabs>
        <w:spacing w:line="360" w:lineRule="auto"/>
        <w:jc w:val="center"/>
        <w:rPr>
          <w:b/>
          <w:bCs/>
          <w:sz w:val="28"/>
          <w:szCs w:val="28"/>
        </w:rPr>
      </w:pPr>
    </w:p>
    <w:p w:rsidR="00367B4C" w:rsidRPr="00A805AA" w:rsidRDefault="00367B4C" w:rsidP="00367B4C">
      <w:pPr>
        <w:tabs>
          <w:tab w:val="left" w:pos="5034"/>
        </w:tabs>
        <w:spacing w:line="360" w:lineRule="auto"/>
        <w:jc w:val="center"/>
        <w:rPr>
          <w:b/>
          <w:bCs/>
        </w:rPr>
      </w:pPr>
      <w:r w:rsidRPr="00A805AA">
        <w:rPr>
          <w:b/>
          <w:bCs/>
        </w:rPr>
        <w:t>Fig 4.6 Operating Profit Ratio : Hindustan Unilever</w:t>
      </w:r>
    </w:p>
    <w:p w:rsidR="00367B4C" w:rsidRPr="00A805AA" w:rsidRDefault="00367B4C" w:rsidP="00367B4C">
      <w:pPr>
        <w:tabs>
          <w:tab w:val="left" w:pos="5034"/>
        </w:tabs>
        <w:spacing w:line="360" w:lineRule="auto"/>
        <w:rPr>
          <w:sz w:val="32"/>
          <w:szCs w:val="32"/>
        </w:rPr>
      </w:pPr>
      <w:r w:rsidRPr="00A805AA">
        <w:rPr>
          <w:b/>
          <w:bCs/>
          <w:noProof/>
          <w:sz w:val="32"/>
          <w:szCs w:val="32"/>
          <w:lang w:val="en-US" w:bidi="ml-IN"/>
        </w:rPr>
        <w:drawing>
          <wp:anchor distT="0" distB="0" distL="114300" distR="114300" simplePos="0" relativeHeight="251667456" behindDoc="0" locked="0" layoutInCell="1" allowOverlap="1">
            <wp:simplePos x="0" y="0"/>
            <wp:positionH relativeFrom="column">
              <wp:posOffset>91440</wp:posOffset>
            </wp:positionH>
            <wp:positionV relativeFrom="paragraph">
              <wp:posOffset>25400</wp:posOffset>
            </wp:positionV>
            <wp:extent cx="5227320" cy="2491740"/>
            <wp:effectExtent l="0" t="0" r="11430" b="3810"/>
            <wp:wrapNone/>
            <wp:docPr id="9161963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jc w:val="both"/>
      </w:pPr>
      <w:r w:rsidRPr="00A805AA">
        <w:rPr>
          <w:b/>
          <w:bCs/>
        </w:rPr>
        <w:lastRenderedPageBreak/>
        <w:t>Interpretation:</w:t>
      </w:r>
      <w:r w:rsidRPr="00A805AA">
        <w:t xml:space="preserve"> The operating profit ratio has averaged 23.81% throughout the course of the nine quarters, ranging from 22.97% to 25.37%. Over the course of the nine quarters, both operating profit and revenue from operations have increased in absolute terms. Between the quarters ending September , 2021 and September 2023, operating profit increased from ₹3,226 crore to ₹3,795 crore. Over the same year, revenue from operations climbed from ₹13,046 crore to ₹15,623 crore. This suggests that Hindustan Unilever has been successful in expanding its revenue and profitability.</w:t>
      </w:r>
    </w:p>
    <w:p w:rsidR="00367B4C" w:rsidRPr="00A805AA" w:rsidRDefault="00367B4C" w:rsidP="00367B4C">
      <w:pPr>
        <w:tabs>
          <w:tab w:val="left" w:pos="5034"/>
        </w:tabs>
        <w:spacing w:line="360" w:lineRule="auto"/>
        <w:jc w:val="both"/>
      </w:pPr>
    </w:p>
    <w:p w:rsidR="00367B4C" w:rsidRPr="00A805AA" w:rsidRDefault="00367B4C" w:rsidP="00367B4C">
      <w:pPr>
        <w:numPr>
          <w:ilvl w:val="0"/>
          <w:numId w:val="30"/>
        </w:numPr>
        <w:tabs>
          <w:tab w:val="left" w:pos="5034"/>
        </w:tabs>
        <w:spacing w:line="360" w:lineRule="auto"/>
        <w:contextualSpacing/>
        <w:rPr>
          <w:b/>
          <w:bCs/>
          <w:sz w:val="28"/>
          <w:szCs w:val="28"/>
        </w:rPr>
      </w:pPr>
      <w:r w:rsidRPr="00A805AA">
        <w:rPr>
          <w:b/>
          <w:bCs/>
          <w:sz w:val="28"/>
          <w:szCs w:val="28"/>
        </w:rPr>
        <w:t>Indian Tobacco Company(ITC)</w:t>
      </w:r>
    </w:p>
    <w:p w:rsidR="00367B4C" w:rsidRPr="00A805AA" w:rsidRDefault="00367B4C" w:rsidP="00367B4C">
      <w:pPr>
        <w:tabs>
          <w:tab w:val="left" w:pos="5034"/>
        </w:tabs>
        <w:spacing w:line="360" w:lineRule="auto"/>
        <w:jc w:val="center"/>
        <w:rPr>
          <w:b/>
          <w:bCs/>
        </w:rPr>
      </w:pPr>
      <w:r w:rsidRPr="00A805AA">
        <w:rPr>
          <w:b/>
          <w:bCs/>
        </w:rPr>
        <w:t>Table 4.12 Statement showing Operating Profit Ratio : ITC</w:t>
      </w:r>
    </w:p>
    <w:tbl>
      <w:tblPr>
        <w:tblW w:w="8326" w:type="dxa"/>
        <w:tblInd w:w="118" w:type="dxa"/>
        <w:tblLook w:val="04A0"/>
      </w:tblPr>
      <w:tblGrid>
        <w:gridCol w:w="1765"/>
        <w:gridCol w:w="2224"/>
        <w:gridCol w:w="2240"/>
        <w:gridCol w:w="2097"/>
      </w:tblGrid>
      <w:tr w:rsidR="00367B4C" w:rsidRPr="00A805AA" w:rsidTr="00367B4C">
        <w:trPr>
          <w:trHeight w:val="1031"/>
        </w:trPr>
        <w:tc>
          <w:tcPr>
            <w:tcW w:w="17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222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09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ratio</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5018</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13757</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36.48</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5598</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17108</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32.72</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5599</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16556</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33.82</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6077</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18489</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32.87</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6259</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17108</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36.59</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6705</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17705</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37.87</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6624</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17635</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37.56</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6670</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17164</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38.86</w:t>
            </w:r>
          </w:p>
        </w:tc>
      </w:tr>
      <w:tr w:rsidR="00367B4C" w:rsidRPr="00A805AA" w:rsidTr="00367B4C">
        <w:trPr>
          <w:trHeight w:val="352"/>
        </w:trPr>
        <w:tc>
          <w:tcPr>
            <w:tcW w:w="176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22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6454</w:t>
            </w:r>
          </w:p>
        </w:tc>
        <w:tc>
          <w:tcPr>
            <w:tcW w:w="224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17774</w:t>
            </w:r>
          </w:p>
        </w:tc>
        <w:tc>
          <w:tcPr>
            <w:tcW w:w="209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36.31</w:t>
            </w:r>
          </w:p>
        </w:tc>
      </w:tr>
    </w:tbl>
    <w:p w:rsidR="00367B4C" w:rsidRPr="00A805AA" w:rsidRDefault="00367B4C" w:rsidP="00367B4C">
      <w:pPr>
        <w:tabs>
          <w:tab w:val="left" w:pos="5034"/>
        </w:tabs>
        <w:spacing w:line="360" w:lineRule="auto"/>
        <w:jc w:val="center"/>
        <w:rPr>
          <w:sz w:val="32"/>
          <w:szCs w:val="32"/>
        </w:rPr>
      </w:pPr>
    </w:p>
    <w:p w:rsidR="00367B4C" w:rsidRPr="00A805AA" w:rsidRDefault="00367B4C" w:rsidP="00367B4C">
      <w:pPr>
        <w:tabs>
          <w:tab w:val="left" w:pos="5034"/>
        </w:tabs>
        <w:spacing w:line="360" w:lineRule="auto"/>
        <w:jc w:val="center"/>
        <w:rPr>
          <w:b/>
          <w:bCs/>
        </w:rPr>
      </w:pPr>
      <w:r w:rsidRPr="00A805AA">
        <w:rPr>
          <w:b/>
          <w:bCs/>
        </w:rPr>
        <w:t>Fig 4.7 operating profit ratio: ITC</w:t>
      </w:r>
    </w:p>
    <w:p w:rsidR="00367B4C" w:rsidRPr="00A805AA" w:rsidRDefault="00367B4C" w:rsidP="00367B4C">
      <w:pPr>
        <w:tabs>
          <w:tab w:val="left" w:pos="5034"/>
        </w:tabs>
        <w:spacing w:line="360" w:lineRule="auto"/>
        <w:rPr>
          <w:sz w:val="32"/>
          <w:szCs w:val="32"/>
        </w:rPr>
      </w:pPr>
      <w:r w:rsidRPr="00A805AA">
        <w:rPr>
          <w:noProof/>
          <w:sz w:val="32"/>
          <w:szCs w:val="32"/>
          <w:lang w:val="en-US" w:bidi="ml-IN"/>
        </w:rPr>
        <w:drawing>
          <wp:anchor distT="0" distB="0" distL="114300" distR="114300" simplePos="0" relativeHeight="251683840" behindDoc="0" locked="0" layoutInCell="1" allowOverlap="1">
            <wp:simplePos x="0" y="0"/>
            <wp:positionH relativeFrom="column">
              <wp:posOffset>114300</wp:posOffset>
            </wp:positionH>
            <wp:positionV relativeFrom="paragraph">
              <wp:posOffset>6985</wp:posOffset>
            </wp:positionV>
            <wp:extent cx="5250180" cy="2491740"/>
            <wp:effectExtent l="0" t="0" r="7620" b="3810"/>
            <wp:wrapNone/>
            <wp:docPr id="14449286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jc w:val="both"/>
      </w:pPr>
      <w:r w:rsidRPr="00A805AA">
        <w:rPr>
          <w:b/>
          <w:bCs/>
        </w:rPr>
        <w:t>Interpretation</w:t>
      </w:r>
      <w:r w:rsidRPr="00A805AA">
        <w:t>: Over the last nine quarters, ITC's operational profit has increased gradually, rising from ₹5,018 crore in September 2021 to ₹6,454 crore in September 2023. Although it has increased more slowly, operating revenue has also been rising, going from ₹13,757 crore in September 2021 to ₹17,774 crore in September 2023. The operating profit ratio has similarly been rising, going from 32.72% in December 2021 to 38.86% in June 2023. This implies that ITC is improving its ability to turn a profit on its revenue.</w:t>
      </w:r>
    </w:p>
    <w:p w:rsidR="00367B4C" w:rsidRPr="00A805AA" w:rsidRDefault="00367B4C" w:rsidP="00367B4C">
      <w:pPr>
        <w:tabs>
          <w:tab w:val="left" w:pos="5034"/>
        </w:tabs>
        <w:spacing w:line="360" w:lineRule="auto"/>
        <w:jc w:val="both"/>
      </w:pPr>
    </w:p>
    <w:p w:rsidR="00367B4C" w:rsidRPr="00A805AA" w:rsidRDefault="00367B4C" w:rsidP="00367B4C">
      <w:pPr>
        <w:numPr>
          <w:ilvl w:val="0"/>
          <w:numId w:val="30"/>
        </w:numPr>
        <w:tabs>
          <w:tab w:val="left" w:pos="5034"/>
        </w:tabs>
        <w:spacing w:line="360" w:lineRule="auto"/>
        <w:contextualSpacing/>
        <w:rPr>
          <w:b/>
          <w:bCs/>
          <w:sz w:val="28"/>
          <w:szCs w:val="28"/>
        </w:rPr>
      </w:pPr>
      <w:r w:rsidRPr="00A805AA">
        <w:rPr>
          <w:b/>
          <w:bCs/>
          <w:sz w:val="28"/>
          <w:szCs w:val="28"/>
        </w:rPr>
        <w:t>Colgate-Palmolive</w:t>
      </w:r>
    </w:p>
    <w:p w:rsidR="00367B4C" w:rsidRPr="00A805AA" w:rsidRDefault="00367B4C" w:rsidP="00367B4C">
      <w:pPr>
        <w:tabs>
          <w:tab w:val="left" w:pos="5034"/>
        </w:tabs>
        <w:spacing w:line="360" w:lineRule="auto"/>
        <w:ind w:left="360"/>
        <w:rPr>
          <w:b/>
          <w:bCs/>
        </w:rPr>
      </w:pPr>
      <w:r w:rsidRPr="00A805AA">
        <w:rPr>
          <w:b/>
          <w:bCs/>
        </w:rPr>
        <w:t xml:space="preserve">       Table 4.13 Statement showing operating profit ratio: Colgate-Palmolive</w:t>
      </w:r>
    </w:p>
    <w:tbl>
      <w:tblPr>
        <w:tblW w:w="8358" w:type="dxa"/>
        <w:tblInd w:w="118" w:type="dxa"/>
        <w:tblLook w:val="04A0"/>
      </w:tblPr>
      <w:tblGrid>
        <w:gridCol w:w="1772"/>
        <w:gridCol w:w="2253"/>
        <w:gridCol w:w="2264"/>
        <w:gridCol w:w="2069"/>
      </w:tblGrid>
      <w:tr w:rsidR="00367B4C" w:rsidRPr="00A805AA" w:rsidTr="00367B4C">
        <w:trPr>
          <w:trHeight w:val="961"/>
        </w:trPr>
        <w:tc>
          <w:tcPr>
            <w:tcW w:w="17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225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w:t>
            </w:r>
          </w:p>
        </w:tc>
        <w:tc>
          <w:tcPr>
            <w:tcW w:w="226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06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 ratio</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401</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1352</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29.66</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381</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1280</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29.77</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429</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1301</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32.97</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326</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1197</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27.23</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408</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1387</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29.42</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361</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1291</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27.96</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452</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1351</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33.46</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418</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1324</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31.57</w:t>
            </w:r>
          </w:p>
        </w:tc>
      </w:tr>
      <w:tr w:rsidR="00367B4C" w:rsidRPr="00A805AA" w:rsidTr="00367B4C">
        <w:trPr>
          <w:trHeight w:val="327"/>
        </w:trPr>
        <w:tc>
          <w:tcPr>
            <w:tcW w:w="177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482</w:t>
            </w:r>
          </w:p>
        </w:tc>
        <w:tc>
          <w:tcPr>
            <w:tcW w:w="226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1471</w:t>
            </w:r>
          </w:p>
        </w:tc>
        <w:tc>
          <w:tcPr>
            <w:tcW w:w="206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32.77</w:t>
            </w:r>
          </w:p>
        </w:tc>
      </w:tr>
    </w:tbl>
    <w:p w:rsidR="00367B4C" w:rsidRPr="00A805AA" w:rsidRDefault="00367B4C" w:rsidP="00367B4C">
      <w:pPr>
        <w:tabs>
          <w:tab w:val="left" w:pos="5034"/>
        </w:tabs>
        <w:spacing w:line="360" w:lineRule="auto"/>
        <w:jc w:val="center"/>
        <w:rPr>
          <w:b/>
          <w:bCs/>
          <w:sz w:val="28"/>
          <w:szCs w:val="28"/>
        </w:rPr>
      </w:pPr>
    </w:p>
    <w:p w:rsidR="00367B4C" w:rsidRPr="00A805AA" w:rsidRDefault="00367B4C" w:rsidP="00367B4C">
      <w:pPr>
        <w:tabs>
          <w:tab w:val="left" w:pos="5034"/>
        </w:tabs>
        <w:spacing w:line="360" w:lineRule="auto"/>
        <w:jc w:val="center"/>
        <w:rPr>
          <w:b/>
          <w:bCs/>
        </w:rPr>
      </w:pPr>
      <w:r w:rsidRPr="00A805AA">
        <w:rPr>
          <w:noProof/>
          <w:lang w:val="en-US" w:bidi="ml-IN"/>
        </w:rPr>
        <w:drawing>
          <wp:anchor distT="0" distB="0" distL="114300" distR="114300" simplePos="0" relativeHeight="251666432" behindDoc="0" locked="0" layoutInCell="1" allowOverlap="1">
            <wp:simplePos x="0" y="0"/>
            <wp:positionH relativeFrom="margin">
              <wp:align>center</wp:align>
            </wp:positionH>
            <wp:positionV relativeFrom="paragraph">
              <wp:posOffset>280670</wp:posOffset>
            </wp:positionV>
            <wp:extent cx="5151120" cy="2590800"/>
            <wp:effectExtent l="0" t="0" r="11430" b="0"/>
            <wp:wrapNone/>
            <wp:docPr id="1859844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A805AA">
        <w:rPr>
          <w:b/>
          <w:bCs/>
        </w:rPr>
        <w:t>Fig 4.8 Operating profit ratio: Colgate-Palmolive</w:t>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jc w:val="both"/>
      </w:pPr>
      <w:r w:rsidRPr="00A805AA">
        <w:rPr>
          <w:b/>
          <w:bCs/>
        </w:rPr>
        <w:t>Interpretation</w:t>
      </w:r>
      <w:r w:rsidRPr="00A805AA">
        <w:t>: The operating profit margin for Colgate-Palmolive has been reasonably consistent over the last nine quarters, but there have been occasional fluctuations, as the table demonstrates. Operating profit margin as of September 2021 was 29.66%. It peaked in March 2023 at 33.46% and fell as low as 27.23% in June 2022. The overall trend, with an average operating profit margin of 30.27% across the nine quarters, is somewhat good despite the variations. Despite various difficulties, the business has been able to keep its operating profit margin comparatively steady.</w:t>
      </w:r>
    </w:p>
    <w:p w:rsidR="00367B4C" w:rsidRPr="00A805AA" w:rsidRDefault="00367B4C" w:rsidP="00367B4C">
      <w:pPr>
        <w:tabs>
          <w:tab w:val="left" w:pos="5034"/>
        </w:tabs>
        <w:spacing w:line="360" w:lineRule="auto"/>
        <w:jc w:val="both"/>
      </w:pPr>
    </w:p>
    <w:p w:rsidR="00367B4C" w:rsidRPr="00A805AA" w:rsidRDefault="00367B4C" w:rsidP="00367B4C">
      <w:pPr>
        <w:numPr>
          <w:ilvl w:val="0"/>
          <w:numId w:val="30"/>
        </w:numPr>
        <w:tabs>
          <w:tab w:val="left" w:pos="5034"/>
        </w:tabs>
        <w:spacing w:line="360" w:lineRule="auto"/>
        <w:contextualSpacing/>
        <w:rPr>
          <w:b/>
          <w:bCs/>
          <w:sz w:val="28"/>
          <w:szCs w:val="28"/>
        </w:rPr>
      </w:pPr>
      <w:r w:rsidRPr="00A805AA">
        <w:rPr>
          <w:b/>
          <w:bCs/>
          <w:sz w:val="28"/>
          <w:szCs w:val="28"/>
        </w:rPr>
        <w:t xml:space="preserve">Britannia </w:t>
      </w:r>
    </w:p>
    <w:p w:rsidR="00367B4C" w:rsidRPr="00A805AA" w:rsidRDefault="00367B4C" w:rsidP="00367B4C">
      <w:pPr>
        <w:tabs>
          <w:tab w:val="left" w:pos="5034"/>
        </w:tabs>
        <w:spacing w:line="360" w:lineRule="auto"/>
        <w:ind w:left="360"/>
        <w:jc w:val="center"/>
        <w:rPr>
          <w:b/>
          <w:bCs/>
        </w:rPr>
      </w:pPr>
      <w:r w:rsidRPr="00A805AA">
        <w:rPr>
          <w:b/>
          <w:bCs/>
        </w:rPr>
        <w:t>Table 4.14 Statement showing operating profit: Britannia</w:t>
      </w:r>
    </w:p>
    <w:tbl>
      <w:tblPr>
        <w:tblW w:w="8275" w:type="dxa"/>
        <w:tblInd w:w="118" w:type="dxa"/>
        <w:tblLook w:val="04A0"/>
      </w:tblPr>
      <w:tblGrid>
        <w:gridCol w:w="1754"/>
        <w:gridCol w:w="2210"/>
        <w:gridCol w:w="2227"/>
        <w:gridCol w:w="2084"/>
      </w:tblGrid>
      <w:tr w:rsidR="00367B4C" w:rsidRPr="00A805AA" w:rsidTr="00367B4C">
        <w:trPr>
          <w:trHeight w:val="983"/>
        </w:trPr>
        <w:tc>
          <w:tcPr>
            <w:tcW w:w="17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221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w:t>
            </w:r>
          </w:p>
        </w:tc>
        <w:tc>
          <w:tcPr>
            <w:tcW w:w="2227"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084"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 ratio</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539</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3049</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17.68</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550</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3036</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18.12</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501</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3001</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16.69</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712</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3200</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22.25</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818</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3668</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22.30</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801</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3379</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23.71</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689</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3222</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21.38</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871</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3322</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26.22</w:t>
            </w:r>
          </w:p>
        </w:tc>
      </w:tr>
      <w:tr w:rsidR="00367B4C" w:rsidRPr="00A805AA" w:rsidTr="00367B4C">
        <w:trPr>
          <w:trHeight w:val="336"/>
        </w:trPr>
        <w:tc>
          <w:tcPr>
            <w:tcW w:w="175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21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820</w:t>
            </w:r>
          </w:p>
        </w:tc>
        <w:tc>
          <w:tcPr>
            <w:tcW w:w="2227"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3562</w:t>
            </w:r>
          </w:p>
        </w:tc>
        <w:tc>
          <w:tcPr>
            <w:tcW w:w="208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23.02</w:t>
            </w:r>
          </w:p>
        </w:tc>
      </w:tr>
    </w:tbl>
    <w:p w:rsidR="00367B4C" w:rsidRPr="00A805AA" w:rsidRDefault="00367B4C" w:rsidP="00367B4C">
      <w:pPr>
        <w:tabs>
          <w:tab w:val="left" w:pos="5034"/>
        </w:tabs>
        <w:spacing w:line="360" w:lineRule="auto"/>
        <w:ind w:left="360"/>
        <w:jc w:val="center"/>
        <w:rPr>
          <w:sz w:val="28"/>
          <w:szCs w:val="28"/>
        </w:rPr>
      </w:pPr>
    </w:p>
    <w:p w:rsidR="00367B4C" w:rsidRPr="00A805AA" w:rsidRDefault="00367B4C" w:rsidP="00367B4C">
      <w:pPr>
        <w:tabs>
          <w:tab w:val="left" w:pos="5034"/>
        </w:tabs>
        <w:spacing w:line="360" w:lineRule="auto"/>
        <w:jc w:val="center"/>
      </w:pPr>
      <w:r w:rsidRPr="00A805AA">
        <w:rPr>
          <w:b/>
          <w:bCs/>
          <w:noProof/>
          <w:lang w:val="en-US" w:bidi="ml-IN"/>
        </w:rPr>
        <w:drawing>
          <wp:anchor distT="0" distB="0" distL="114300" distR="114300" simplePos="0" relativeHeight="251668480" behindDoc="0" locked="0" layoutInCell="1" allowOverlap="1">
            <wp:simplePos x="0" y="0"/>
            <wp:positionH relativeFrom="margin">
              <wp:align>left</wp:align>
            </wp:positionH>
            <wp:positionV relativeFrom="paragraph">
              <wp:posOffset>322580</wp:posOffset>
            </wp:positionV>
            <wp:extent cx="5356860" cy="2560320"/>
            <wp:effectExtent l="0" t="0" r="15240" b="11430"/>
            <wp:wrapNone/>
            <wp:docPr id="29510368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A805AA">
        <w:rPr>
          <w:b/>
          <w:bCs/>
        </w:rPr>
        <w:t>Fig 4.9: Operating profit ratio : Britannia</w:t>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jc w:val="both"/>
        <w:rPr>
          <w:b/>
          <w:bCs/>
        </w:rPr>
      </w:pPr>
    </w:p>
    <w:p w:rsidR="00367B4C" w:rsidRPr="00A805AA" w:rsidRDefault="00367B4C" w:rsidP="00367B4C">
      <w:pPr>
        <w:tabs>
          <w:tab w:val="left" w:pos="5034"/>
        </w:tabs>
        <w:spacing w:line="360" w:lineRule="auto"/>
        <w:jc w:val="both"/>
      </w:pPr>
      <w:r w:rsidRPr="00A805AA">
        <w:rPr>
          <w:b/>
          <w:bCs/>
        </w:rPr>
        <w:t>Interpretation:</w:t>
      </w:r>
      <w:r w:rsidRPr="00A805AA">
        <w:t xml:space="preserve"> Britannia's operational profit increased dramatically over the course of the last nine quarters, as the table demonstrates, from ₹539 crore in September 2021 to ₹871 crore in June 2023. The operations revenue increased as well, but more slowly: from ₹3,049 crore in September 2021 to ₹3,562 crore in Sep 2023. Operating profit has been rising as well, rising from 16.69% in March 2022  to 26.22% in June 2023. This implies that Britannia is become increasingly adapt at turning a profit from its income.</w:t>
      </w:r>
    </w:p>
    <w:p w:rsidR="00367B4C" w:rsidRPr="00A805AA" w:rsidRDefault="00367B4C" w:rsidP="00367B4C">
      <w:pPr>
        <w:numPr>
          <w:ilvl w:val="0"/>
          <w:numId w:val="30"/>
        </w:numPr>
        <w:tabs>
          <w:tab w:val="left" w:pos="5034"/>
        </w:tabs>
        <w:spacing w:line="360" w:lineRule="auto"/>
        <w:contextualSpacing/>
        <w:rPr>
          <w:b/>
          <w:bCs/>
          <w:sz w:val="28"/>
          <w:szCs w:val="28"/>
        </w:rPr>
      </w:pPr>
      <w:r w:rsidRPr="00A805AA">
        <w:rPr>
          <w:b/>
          <w:bCs/>
          <w:sz w:val="28"/>
          <w:szCs w:val="28"/>
        </w:rPr>
        <w:t xml:space="preserve">Dabur </w:t>
      </w:r>
    </w:p>
    <w:p w:rsidR="00367B4C" w:rsidRPr="00A805AA" w:rsidRDefault="00367B4C" w:rsidP="00367B4C">
      <w:pPr>
        <w:tabs>
          <w:tab w:val="left" w:pos="5034"/>
        </w:tabs>
        <w:spacing w:line="360" w:lineRule="auto"/>
        <w:ind w:left="360"/>
        <w:jc w:val="center"/>
        <w:rPr>
          <w:b/>
          <w:bCs/>
        </w:rPr>
      </w:pPr>
      <w:r w:rsidRPr="00A805AA">
        <w:rPr>
          <w:b/>
          <w:bCs/>
        </w:rPr>
        <w:t>Table 4.15: Statement showing operating profit ratio: Dabur</w:t>
      </w:r>
    </w:p>
    <w:tbl>
      <w:tblPr>
        <w:tblW w:w="8371" w:type="dxa"/>
        <w:tblInd w:w="118" w:type="dxa"/>
        <w:tblLook w:val="04A0"/>
      </w:tblPr>
      <w:tblGrid>
        <w:gridCol w:w="1775"/>
        <w:gridCol w:w="2235"/>
        <w:gridCol w:w="2253"/>
        <w:gridCol w:w="2108"/>
      </w:tblGrid>
      <w:tr w:rsidR="00367B4C" w:rsidRPr="00A805AA" w:rsidTr="00367B4C">
        <w:trPr>
          <w:trHeight w:val="968"/>
        </w:trPr>
        <w:tc>
          <w:tcPr>
            <w:tcW w:w="17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2235"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w:t>
            </w:r>
          </w:p>
        </w:tc>
        <w:tc>
          <w:tcPr>
            <w:tcW w:w="225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Revenue from operations</w:t>
            </w:r>
          </w:p>
        </w:tc>
        <w:tc>
          <w:tcPr>
            <w:tcW w:w="2108"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operating profit ratio</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620</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2818</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22.0</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627</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2942</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21.31</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452</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2518</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17.95</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543</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2822</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19.24</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600</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2986</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20.09</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609</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3043</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20.01</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410</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2678</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15.31</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605</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3130</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19.33</w:t>
            </w:r>
          </w:p>
        </w:tc>
      </w:tr>
      <w:tr w:rsidR="00367B4C" w:rsidRPr="00A805AA" w:rsidTr="00367B4C">
        <w:trPr>
          <w:trHeight w:val="331"/>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23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661</w:t>
            </w:r>
          </w:p>
        </w:tc>
        <w:tc>
          <w:tcPr>
            <w:tcW w:w="225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3204</w:t>
            </w:r>
          </w:p>
        </w:tc>
        <w:tc>
          <w:tcPr>
            <w:tcW w:w="210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20.63</w:t>
            </w:r>
          </w:p>
        </w:tc>
      </w:tr>
    </w:tbl>
    <w:p w:rsidR="00367B4C" w:rsidRPr="00A805AA" w:rsidRDefault="00367B4C" w:rsidP="00367B4C">
      <w:pPr>
        <w:tabs>
          <w:tab w:val="left" w:pos="5034"/>
        </w:tabs>
        <w:spacing w:line="360" w:lineRule="auto"/>
        <w:jc w:val="center"/>
        <w:rPr>
          <w:sz w:val="28"/>
          <w:szCs w:val="28"/>
        </w:rPr>
      </w:pPr>
    </w:p>
    <w:p w:rsidR="00367B4C" w:rsidRPr="00A805AA" w:rsidRDefault="00367B4C" w:rsidP="00367B4C">
      <w:pPr>
        <w:tabs>
          <w:tab w:val="left" w:pos="5034"/>
        </w:tabs>
        <w:spacing w:line="360" w:lineRule="auto"/>
        <w:jc w:val="center"/>
        <w:rPr>
          <w:b/>
          <w:bCs/>
        </w:rPr>
      </w:pPr>
      <w:r w:rsidRPr="00A805AA">
        <w:rPr>
          <w:b/>
          <w:bCs/>
        </w:rPr>
        <w:t>Fig 4.10: Operating Profit Ratio: Dabur</w:t>
      </w:r>
    </w:p>
    <w:p w:rsidR="00367B4C" w:rsidRPr="00A805AA" w:rsidRDefault="00367B4C" w:rsidP="00367B4C">
      <w:pPr>
        <w:tabs>
          <w:tab w:val="left" w:pos="5034"/>
        </w:tabs>
        <w:spacing w:line="360" w:lineRule="auto"/>
        <w:rPr>
          <w:sz w:val="32"/>
          <w:szCs w:val="32"/>
        </w:rPr>
      </w:pPr>
      <w:r w:rsidRPr="00A805AA">
        <w:rPr>
          <w:noProof/>
          <w:lang w:val="en-US" w:bidi="ml-IN"/>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139065</wp:posOffset>
            </wp:positionV>
            <wp:extent cx="5189220" cy="2667000"/>
            <wp:effectExtent l="0" t="0" r="11430" b="0"/>
            <wp:wrapNone/>
            <wp:docPr id="5657069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jc w:val="both"/>
        <w:rPr>
          <w:b/>
          <w:bCs/>
        </w:rPr>
      </w:pPr>
      <w:r w:rsidRPr="00A805AA">
        <w:rPr>
          <w:b/>
          <w:bCs/>
        </w:rPr>
        <w:t xml:space="preserve">Interpretation: </w:t>
      </w:r>
      <w:r w:rsidRPr="00A805AA">
        <w:t>As seen in the table, Dabur's operating profit climbed from ₹620 crore in September 2021 to ₹661 crore in September 2023, a consistent increase throughout the previous nine quarters. Operating revenue increased as well, but a little quicker: from ₹2,818 crore in September 2021 to ₹3,204 crore in September 2023. Operating profit ratio, was highest during September 2021 ie.,22.00% and lowest during March 2023 which was 15.31% .This implies that Dabur is improving its revenue-generating efficiency, but not as quickly as its revenue is growing.</w:t>
      </w:r>
    </w:p>
    <w:p w:rsidR="00367B4C" w:rsidRPr="00A805AA" w:rsidRDefault="00367B4C" w:rsidP="00367B4C">
      <w:pPr>
        <w:tabs>
          <w:tab w:val="left" w:pos="5034"/>
        </w:tabs>
        <w:spacing w:line="360" w:lineRule="auto"/>
        <w:jc w:val="both"/>
        <w:rPr>
          <w:sz w:val="32"/>
          <w:szCs w:val="32"/>
        </w:rPr>
      </w:pPr>
    </w:p>
    <w:p w:rsidR="00367B4C" w:rsidRPr="00A805AA" w:rsidRDefault="00367B4C" w:rsidP="00367B4C">
      <w:pPr>
        <w:tabs>
          <w:tab w:val="left" w:pos="5034"/>
        </w:tabs>
        <w:spacing w:line="360" w:lineRule="auto"/>
        <w:jc w:val="both"/>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3470FC" w:rsidRDefault="00367B4C" w:rsidP="00367B4C">
      <w:pPr>
        <w:tabs>
          <w:tab w:val="left" w:pos="5034"/>
        </w:tabs>
        <w:spacing w:line="360" w:lineRule="auto"/>
        <w:rPr>
          <w:b/>
          <w:bCs/>
          <w:sz w:val="28"/>
          <w:szCs w:val="28"/>
        </w:rPr>
      </w:pPr>
      <w:r w:rsidRPr="003470FC">
        <w:rPr>
          <w:b/>
          <w:bCs/>
          <w:sz w:val="28"/>
          <w:szCs w:val="28"/>
        </w:rPr>
        <w:t>3.Earning per share (EPS)</w:t>
      </w:r>
    </w:p>
    <w:p w:rsidR="00367B4C" w:rsidRPr="00A805AA" w:rsidRDefault="00367B4C" w:rsidP="00367B4C">
      <w:pPr>
        <w:tabs>
          <w:tab w:val="left" w:pos="5034"/>
        </w:tabs>
        <w:spacing w:line="360" w:lineRule="auto"/>
        <w:contextualSpacing/>
        <w:rPr>
          <w:b/>
          <w:bCs/>
          <w:sz w:val="28"/>
          <w:szCs w:val="28"/>
        </w:rPr>
      </w:pPr>
      <w:r w:rsidRPr="00282454">
        <w:rPr>
          <w:b/>
          <w:bCs/>
          <w:noProof/>
          <w:sz w:val="28"/>
          <w:szCs w:val="28"/>
        </w:rPr>
        <w:pict>
          <v:shape id="Straight Arrow Connector 1" o:spid="_x0000_s1027" type="#_x0000_t32" style="position:absolute;margin-left:99.85pt;margin-top:16.05pt;width:313.4pt;height:1.2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jwgEAAGQDAAAOAAAAZHJzL2Uyb0RvYy54bWysU8Fu2zAMvQ/YPwi6L7YzZEuNOD2k6y7d&#10;FqDd7oos2cJkUSCV2Pn7SYqXbu1tmA8CJZKPj4/05nYaLDspJAOu4dWi5Ew5Ca1xXcO/P92/W3NG&#10;QbhWWHCq4WdF/Hb79s1m9LVaQg+2VcgiiKN69A3vQ/B1UZDs1SBoAV656NSAgwjxil3Rohgj+mCL&#10;ZVl+KEbA1iNIRRRf7y5Ovs34WisZvmlNKjDb8Mgt5BPzeUhnsd2IukPheyNnGuIfWAzCuFj0CnUn&#10;gmBHNK+gBiMRCHRYSBgK0NpIlXuI3VTli24ee+FV7iWKQ/4qE/0/WPn1tHN7TNTl5B79A8ifxBzs&#10;euE6lQk8nX0cXJWkKkZP9TUlXcjvkR3GL9DGGHEMkFWYNA5MW+N/pMQEHjtlU5b9fJVdTYHJ+Pj+&#10;Zl1W6zgdGX3Vav1xlWuJOsGkZI8UPisYWDIaTgGF6fqwA+figAEvJcTpgUIi+ZyQkh3cG2vznK1j&#10;Y8NvVstV5kRgTZucKYywO+wsspNIm5K/mcVfYQhH12awXon202wHYezFjsWtm4VK2qRFpPoA7XmP&#10;vwWMo8ws57VLu/LnPWc//xzbXwAAAP//AwBQSwMEFAAGAAgAAAAhAI3T+e/eAAAACQEAAA8AAABk&#10;cnMvZG93bnJldi54bWxMj8FOg0AQhu8mvsNmTLzZpVgppSyNMdF4MCRWvW/ZKaDsLLJboG/veNLj&#10;P/Pln2/y3Ww7MeLgW0cKlosIBFLlTEu1gve3x5sUhA+ajO4coYIzetgVlxe5zoyb6BXHfagFl5DP&#10;tIImhD6T0lcNWu0Xrkfi3dENVgeOQy3NoCcut52MoyiRVrfEFxrd40OD1df+ZBV80/r8sZJj+lmW&#10;IXl6fqkJy0mp66v5fgsi4Bz+YPjVZ3Uo2OngTmS86DhvNmtGFdzGSxAMpHFyB+LAg1UCssjl/w+K&#10;HwAAAP//AwBQSwECLQAUAAYACAAAACEAtoM4kv4AAADhAQAAEwAAAAAAAAAAAAAAAAAAAAAAW0Nv&#10;bnRlbnRfVHlwZXNdLnhtbFBLAQItABQABgAIAAAAIQA4/SH/1gAAAJQBAAALAAAAAAAAAAAAAAAA&#10;AC8BAABfcmVscy8ucmVsc1BLAQItABQABgAIAAAAIQDH/gujwgEAAGQDAAAOAAAAAAAAAAAAAAAA&#10;AC4CAABkcnMvZTJvRG9jLnhtbFBLAQItABQABgAIAAAAIQCN0/nv3gAAAAkBAAAPAAAAAAAAAAAA&#10;AAAAABwEAABkcnMvZG93bnJldi54bWxQSwUGAAAAAAQABADzAAAAJwUAAAAA&#10;"/>
        </w:pict>
      </w:r>
      <w:r w:rsidRPr="00A805AA">
        <w:rPr>
          <w:b/>
          <w:bCs/>
          <w:sz w:val="28"/>
          <w:szCs w:val="28"/>
        </w:rPr>
        <w:t>EPS= Earnings after Interest, Tax and Preference Dividend</w:t>
      </w:r>
    </w:p>
    <w:p w:rsidR="00367B4C" w:rsidRPr="00A805AA" w:rsidRDefault="00367B4C" w:rsidP="00367B4C">
      <w:pPr>
        <w:tabs>
          <w:tab w:val="left" w:pos="5034"/>
        </w:tabs>
        <w:spacing w:line="360" w:lineRule="auto"/>
        <w:jc w:val="center"/>
        <w:rPr>
          <w:b/>
          <w:bCs/>
          <w:sz w:val="28"/>
          <w:szCs w:val="28"/>
        </w:rPr>
      </w:pPr>
      <w:r w:rsidRPr="00A805AA">
        <w:rPr>
          <w:b/>
          <w:bCs/>
          <w:sz w:val="28"/>
          <w:szCs w:val="28"/>
        </w:rPr>
        <w:t xml:space="preserve">Number </w:t>
      </w:r>
      <w:r>
        <w:rPr>
          <w:b/>
          <w:bCs/>
          <w:sz w:val="28"/>
          <w:szCs w:val="28"/>
        </w:rPr>
        <w:t>o</w:t>
      </w:r>
      <w:r w:rsidRPr="00A805AA">
        <w:rPr>
          <w:b/>
          <w:bCs/>
          <w:sz w:val="28"/>
          <w:szCs w:val="28"/>
        </w:rPr>
        <w:t>f Equity shares</w:t>
      </w:r>
    </w:p>
    <w:p w:rsidR="00367B4C" w:rsidRPr="00A805AA" w:rsidRDefault="00367B4C" w:rsidP="00367B4C">
      <w:pPr>
        <w:tabs>
          <w:tab w:val="left" w:pos="5034"/>
        </w:tabs>
        <w:spacing w:line="360" w:lineRule="auto"/>
        <w:jc w:val="center"/>
        <w:rPr>
          <w:b/>
          <w:bCs/>
          <w:sz w:val="28"/>
          <w:szCs w:val="28"/>
        </w:rPr>
      </w:pPr>
    </w:p>
    <w:p w:rsidR="00367B4C" w:rsidRPr="00A805AA" w:rsidRDefault="00367B4C" w:rsidP="00367B4C">
      <w:pPr>
        <w:numPr>
          <w:ilvl w:val="0"/>
          <w:numId w:val="31"/>
        </w:numPr>
        <w:tabs>
          <w:tab w:val="left" w:pos="5034"/>
        </w:tabs>
        <w:spacing w:line="360" w:lineRule="auto"/>
        <w:contextualSpacing/>
        <w:rPr>
          <w:b/>
          <w:bCs/>
          <w:sz w:val="28"/>
          <w:szCs w:val="28"/>
        </w:rPr>
      </w:pPr>
      <w:r w:rsidRPr="00A805AA">
        <w:rPr>
          <w:b/>
          <w:bCs/>
          <w:sz w:val="28"/>
          <w:szCs w:val="28"/>
        </w:rPr>
        <w:t xml:space="preserve">Hindustan Unilever </w:t>
      </w:r>
    </w:p>
    <w:p w:rsidR="00367B4C" w:rsidRPr="00A805AA" w:rsidRDefault="00367B4C" w:rsidP="00367B4C">
      <w:pPr>
        <w:tabs>
          <w:tab w:val="left" w:pos="5034"/>
        </w:tabs>
        <w:spacing w:line="360" w:lineRule="auto"/>
        <w:ind w:left="1080"/>
        <w:contextualSpacing/>
        <w:rPr>
          <w:b/>
          <w:bCs/>
        </w:rPr>
      </w:pPr>
      <w:r w:rsidRPr="00A805AA">
        <w:rPr>
          <w:b/>
          <w:bCs/>
        </w:rPr>
        <w:t xml:space="preserve">      Table 4.16 Statement showing EPS: Hindustan Unilever</w:t>
      </w:r>
    </w:p>
    <w:tbl>
      <w:tblPr>
        <w:tblpPr w:leftFromText="180" w:rightFromText="180" w:vertAnchor="text" w:horzAnchor="margin" w:tblpXSpec="center" w:tblpY="139"/>
        <w:tblW w:w="6767" w:type="dxa"/>
        <w:tblLook w:val="04A0"/>
      </w:tblPr>
      <w:tblGrid>
        <w:gridCol w:w="2152"/>
        <w:gridCol w:w="1923"/>
        <w:gridCol w:w="2692"/>
      </w:tblGrid>
      <w:tr w:rsidR="00367B4C" w:rsidRPr="00A805AA" w:rsidTr="00367B4C">
        <w:trPr>
          <w:trHeight w:val="689"/>
        </w:trPr>
        <w:tc>
          <w:tcPr>
            <w:tcW w:w="21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192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EPS</w:t>
            </w:r>
          </w:p>
        </w:tc>
        <w:tc>
          <w:tcPr>
            <w:tcW w:w="2692"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Change in EPS (%)</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9.28</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100</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9.78</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105.39</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9.81</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105.71</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10.13</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109.16</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11.34</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122.20</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10.53</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113.47</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11.07</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119.29</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10.87</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117.13</w:t>
            </w:r>
          </w:p>
        </w:tc>
      </w:tr>
      <w:tr w:rsidR="00367B4C" w:rsidRPr="00A805AA" w:rsidTr="00367B4C">
        <w:trPr>
          <w:trHeight w:val="350"/>
        </w:trPr>
        <w:tc>
          <w:tcPr>
            <w:tcW w:w="2152"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9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11.3</w:t>
            </w:r>
          </w:p>
        </w:tc>
        <w:tc>
          <w:tcPr>
            <w:tcW w:w="269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121.77</w:t>
            </w:r>
          </w:p>
        </w:tc>
      </w:tr>
    </w:tbl>
    <w:p w:rsidR="00367B4C" w:rsidRPr="00A805AA" w:rsidRDefault="00367B4C" w:rsidP="00367B4C">
      <w:pPr>
        <w:tabs>
          <w:tab w:val="left" w:pos="5034"/>
        </w:tabs>
        <w:spacing w:line="360" w:lineRule="auto"/>
        <w:ind w:left="1080"/>
        <w:contextualSpacing/>
        <w:rPr>
          <w:sz w:val="28"/>
          <w:szCs w:val="28"/>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b/>
          <w:bCs/>
          <w:sz w:val="28"/>
          <w:szCs w:val="28"/>
        </w:rPr>
      </w:pPr>
    </w:p>
    <w:p w:rsidR="00367B4C" w:rsidRPr="00A805AA" w:rsidRDefault="00367B4C" w:rsidP="00367B4C">
      <w:pPr>
        <w:tabs>
          <w:tab w:val="left" w:pos="5034"/>
        </w:tabs>
        <w:spacing w:line="360" w:lineRule="auto"/>
        <w:jc w:val="center"/>
        <w:rPr>
          <w:b/>
          <w:bCs/>
        </w:rPr>
      </w:pPr>
      <w:r w:rsidRPr="00A805AA">
        <w:rPr>
          <w:b/>
          <w:bCs/>
          <w:noProof/>
          <w:lang w:val="en-US" w:bidi="ml-IN"/>
        </w:rPr>
        <w:drawing>
          <wp:anchor distT="0" distB="0" distL="114300" distR="114300" simplePos="0" relativeHeight="251669504" behindDoc="0" locked="0" layoutInCell="1" allowOverlap="1">
            <wp:simplePos x="0" y="0"/>
            <wp:positionH relativeFrom="column">
              <wp:posOffset>336883</wp:posOffset>
            </wp:positionH>
            <wp:positionV relativeFrom="paragraph">
              <wp:posOffset>280268</wp:posOffset>
            </wp:positionV>
            <wp:extent cx="5130265" cy="2627697"/>
            <wp:effectExtent l="0" t="0" r="0" b="0"/>
            <wp:wrapNone/>
            <wp:docPr id="13121575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bookmarkStart w:id="21" w:name="_Hlk159606464"/>
      <w:r w:rsidRPr="00A805AA">
        <w:rPr>
          <w:b/>
          <w:bCs/>
        </w:rPr>
        <w:t>Fig 4.11 Figure showing EPS: Hindustan Unilever</w:t>
      </w:r>
      <w:bookmarkEnd w:id="21"/>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jc w:val="both"/>
      </w:pPr>
      <w:r w:rsidRPr="00A805AA">
        <w:rPr>
          <w:b/>
          <w:bCs/>
        </w:rPr>
        <w:t xml:space="preserve">Interpretation: </w:t>
      </w:r>
      <w:r w:rsidRPr="00A805AA">
        <w:t>EPS increased by 21.77%, from ₹9.28 to ₹11.30, between September 2021 and September 2023. September 2022 saw the largest annual percentage of EPS growth, at 122.20%. The growth rate has now slowed, but it has continued to rise each quarter. The EPS for September 2023 was ₹11.30, indicating a 121.77% increase from September 2021.The table indicates that HUL is doing well financially overall and that its EPS is trending upward. It's crucial to remember, though, that past performance does not always portend future outcomes.</w:t>
      </w:r>
    </w:p>
    <w:p w:rsidR="00367B4C" w:rsidRPr="00A805AA" w:rsidRDefault="00367B4C" w:rsidP="00367B4C">
      <w:pPr>
        <w:numPr>
          <w:ilvl w:val="0"/>
          <w:numId w:val="31"/>
        </w:numPr>
        <w:tabs>
          <w:tab w:val="left" w:pos="5034"/>
        </w:tabs>
        <w:spacing w:line="360" w:lineRule="auto"/>
        <w:contextualSpacing/>
        <w:rPr>
          <w:b/>
          <w:bCs/>
          <w:sz w:val="28"/>
          <w:szCs w:val="28"/>
        </w:rPr>
      </w:pPr>
      <w:r w:rsidRPr="00A805AA">
        <w:rPr>
          <w:b/>
          <w:bCs/>
          <w:sz w:val="28"/>
          <w:szCs w:val="28"/>
        </w:rPr>
        <w:t>Indian Tobacco Company (ITC)</w:t>
      </w:r>
    </w:p>
    <w:p w:rsidR="00367B4C" w:rsidRPr="00A805AA" w:rsidRDefault="00367B4C" w:rsidP="00367B4C">
      <w:pPr>
        <w:tabs>
          <w:tab w:val="left" w:pos="5034"/>
        </w:tabs>
        <w:spacing w:line="360" w:lineRule="auto"/>
        <w:ind w:left="1080"/>
        <w:contextualSpacing/>
        <w:jc w:val="both"/>
        <w:rPr>
          <w:b/>
          <w:bCs/>
        </w:rPr>
      </w:pPr>
      <w:r w:rsidRPr="00A805AA">
        <w:rPr>
          <w:b/>
          <w:bCs/>
        </w:rPr>
        <w:t xml:space="preserve">Table 4.17 </w:t>
      </w:r>
      <w:bookmarkStart w:id="22" w:name="_Hlk161163824"/>
      <w:r w:rsidRPr="00A805AA">
        <w:rPr>
          <w:b/>
          <w:bCs/>
        </w:rPr>
        <w:t>Statement showing EPS: ITC</w:t>
      </w:r>
      <w:bookmarkEnd w:id="22"/>
    </w:p>
    <w:tbl>
      <w:tblPr>
        <w:tblW w:w="5377" w:type="dxa"/>
        <w:tblInd w:w="1820" w:type="dxa"/>
        <w:tblLook w:val="04A0"/>
      </w:tblPr>
      <w:tblGrid>
        <w:gridCol w:w="1710"/>
        <w:gridCol w:w="1439"/>
        <w:gridCol w:w="2228"/>
      </w:tblGrid>
      <w:tr w:rsidR="00367B4C" w:rsidRPr="00A805AA" w:rsidTr="00367B4C">
        <w:trPr>
          <w:trHeight w:val="1018"/>
        </w:trPr>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143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EPS</w:t>
            </w:r>
          </w:p>
        </w:tc>
        <w:tc>
          <w:tcPr>
            <w:tcW w:w="2228"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Change in EPS(%)</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3.01</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100</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3.29</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109.30</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3.4</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112.96</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3.56</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118.27</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3.73</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123.92</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4.03</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133.89</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4.16</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138.21</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4.1</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136.21</w:t>
            </w:r>
          </w:p>
        </w:tc>
      </w:tr>
      <w:tr w:rsidR="00367B4C" w:rsidRPr="00A805AA" w:rsidTr="00367B4C">
        <w:trPr>
          <w:trHeight w:val="348"/>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lastRenderedPageBreak/>
              <w:t>Sep-23</w:t>
            </w:r>
          </w:p>
        </w:tc>
        <w:tc>
          <w:tcPr>
            <w:tcW w:w="143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3.93</w:t>
            </w:r>
          </w:p>
        </w:tc>
        <w:tc>
          <w:tcPr>
            <w:tcW w:w="222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130.56</w:t>
            </w:r>
          </w:p>
        </w:tc>
      </w:tr>
    </w:tbl>
    <w:p w:rsidR="00367B4C" w:rsidRPr="00A805AA" w:rsidRDefault="00367B4C" w:rsidP="00367B4C">
      <w:pPr>
        <w:tabs>
          <w:tab w:val="left" w:pos="5034"/>
        </w:tabs>
        <w:spacing w:line="360" w:lineRule="auto"/>
        <w:ind w:left="1080"/>
        <w:contextualSpacing/>
        <w:rPr>
          <w:sz w:val="28"/>
          <w:szCs w:val="28"/>
        </w:rPr>
      </w:pPr>
    </w:p>
    <w:p w:rsidR="00367B4C" w:rsidRPr="00A805AA" w:rsidRDefault="00367B4C" w:rsidP="00367B4C">
      <w:pPr>
        <w:tabs>
          <w:tab w:val="left" w:pos="5034"/>
        </w:tabs>
        <w:spacing w:line="360" w:lineRule="auto"/>
        <w:ind w:left="1080"/>
        <w:contextualSpacing/>
        <w:jc w:val="center"/>
        <w:rPr>
          <w:b/>
          <w:bCs/>
        </w:rPr>
      </w:pPr>
      <w:r w:rsidRPr="00A805AA">
        <w:rPr>
          <w:noProof/>
          <w:lang w:val="en-US" w:bidi="ml-IN"/>
        </w:rPr>
        <w:drawing>
          <wp:anchor distT="0" distB="0" distL="114300" distR="114300" simplePos="0" relativeHeight="251671552" behindDoc="0" locked="0" layoutInCell="1" allowOverlap="1">
            <wp:simplePos x="0" y="0"/>
            <wp:positionH relativeFrom="column">
              <wp:posOffset>423512</wp:posOffset>
            </wp:positionH>
            <wp:positionV relativeFrom="paragraph">
              <wp:posOffset>238928</wp:posOffset>
            </wp:positionV>
            <wp:extent cx="5165691" cy="2629468"/>
            <wp:effectExtent l="0" t="0" r="0" b="0"/>
            <wp:wrapNone/>
            <wp:docPr id="11429334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A805AA">
        <w:rPr>
          <w:b/>
          <w:bCs/>
        </w:rPr>
        <w:t>Fig 4.12 Figure showing EPS: ITC</w:t>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jc w:val="both"/>
        <w:rPr>
          <w:b/>
          <w:bCs/>
        </w:rPr>
      </w:pPr>
      <w:r w:rsidRPr="00A805AA">
        <w:rPr>
          <w:b/>
          <w:bCs/>
        </w:rPr>
        <w:t xml:space="preserve">Interpretation: </w:t>
      </w:r>
      <w:r w:rsidRPr="00A805AA">
        <w:t>The table shows that throughout the previous nine quarters, the Indian Tobacco Company's (ITC) profits per share (EPS) has been rising consistently. The EPS increased by 30.86%, from ₹3.01 to ₹3.93, between September 2021 and September 2023. The average quarterly increase in the EPS has been 4.34%, indicating a fairly steady growth.The table indicates that ITC has had strong financial performance over the previous two years overall.</w:t>
      </w:r>
    </w:p>
    <w:p w:rsidR="00367B4C" w:rsidRPr="005E37B1" w:rsidRDefault="00367B4C" w:rsidP="00367B4C">
      <w:pPr>
        <w:tabs>
          <w:tab w:val="left" w:pos="5034"/>
        </w:tabs>
        <w:spacing w:line="360" w:lineRule="auto"/>
        <w:jc w:val="both"/>
        <w:rPr>
          <w:b/>
          <w:bCs/>
        </w:rPr>
      </w:pPr>
    </w:p>
    <w:p w:rsidR="00367B4C" w:rsidRPr="00A805AA" w:rsidRDefault="00367B4C" w:rsidP="00367B4C">
      <w:pPr>
        <w:numPr>
          <w:ilvl w:val="0"/>
          <w:numId w:val="31"/>
        </w:numPr>
        <w:tabs>
          <w:tab w:val="left" w:pos="5034"/>
        </w:tabs>
        <w:spacing w:line="360" w:lineRule="auto"/>
        <w:contextualSpacing/>
        <w:rPr>
          <w:b/>
          <w:bCs/>
          <w:sz w:val="28"/>
          <w:szCs w:val="28"/>
        </w:rPr>
      </w:pPr>
      <w:r w:rsidRPr="00A805AA">
        <w:rPr>
          <w:b/>
          <w:bCs/>
          <w:sz w:val="28"/>
          <w:szCs w:val="28"/>
        </w:rPr>
        <w:t>Colgate- Palmolive</w:t>
      </w:r>
    </w:p>
    <w:p w:rsidR="00367B4C" w:rsidRPr="00A805AA" w:rsidRDefault="00367B4C" w:rsidP="00367B4C">
      <w:pPr>
        <w:tabs>
          <w:tab w:val="left" w:pos="5034"/>
        </w:tabs>
        <w:spacing w:line="360" w:lineRule="auto"/>
        <w:ind w:left="1080"/>
        <w:contextualSpacing/>
        <w:jc w:val="both"/>
        <w:rPr>
          <w:b/>
          <w:bCs/>
        </w:rPr>
      </w:pPr>
      <w:r w:rsidRPr="00A805AA">
        <w:rPr>
          <w:b/>
          <w:bCs/>
        </w:rPr>
        <w:t xml:space="preserve">        Table 4.18 Statement showing EPS: Colgate-Palmolive </w:t>
      </w:r>
    </w:p>
    <w:tbl>
      <w:tblPr>
        <w:tblW w:w="5135" w:type="dxa"/>
        <w:tblInd w:w="1948" w:type="dxa"/>
        <w:tblLook w:val="04A0"/>
      </w:tblPr>
      <w:tblGrid>
        <w:gridCol w:w="1633"/>
        <w:gridCol w:w="1376"/>
        <w:gridCol w:w="2126"/>
      </w:tblGrid>
      <w:tr w:rsidR="00367B4C" w:rsidRPr="00A805AA" w:rsidTr="00367B4C">
        <w:trPr>
          <w:trHeight w:val="629"/>
        </w:trPr>
        <w:tc>
          <w:tcPr>
            <w:tcW w:w="16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137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EPS</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Change in EPS(%)</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9.9</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100</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9.28</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93.74</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11.9</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120.20</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7.71</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77.88</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10.22</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103.23</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8.94</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90.30</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11.63</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117.47</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10.06</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101.61</w:t>
            </w:r>
          </w:p>
        </w:tc>
      </w:tr>
      <w:tr w:rsidR="00367B4C" w:rsidRPr="00A805AA" w:rsidTr="00367B4C">
        <w:trPr>
          <w:trHeight w:val="320"/>
        </w:trPr>
        <w:tc>
          <w:tcPr>
            <w:tcW w:w="163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lastRenderedPageBreak/>
              <w:t>Sep-23</w:t>
            </w:r>
          </w:p>
        </w:tc>
        <w:tc>
          <w:tcPr>
            <w:tcW w:w="13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12.5</w:t>
            </w:r>
          </w:p>
        </w:tc>
        <w:tc>
          <w:tcPr>
            <w:tcW w:w="212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126.26</w:t>
            </w:r>
          </w:p>
        </w:tc>
      </w:tr>
    </w:tbl>
    <w:p w:rsidR="00367B4C" w:rsidRPr="00A805AA" w:rsidRDefault="00367B4C" w:rsidP="00367B4C">
      <w:pPr>
        <w:tabs>
          <w:tab w:val="left" w:pos="5034"/>
        </w:tabs>
        <w:spacing w:line="360" w:lineRule="auto"/>
        <w:ind w:left="1080"/>
        <w:contextualSpacing/>
        <w:jc w:val="center"/>
        <w:rPr>
          <w:sz w:val="28"/>
          <w:szCs w:val="28"/>
        </w:rPr>
      </w:pPr>
    </w:p>
    <w:p w:rsidR="00367B4C" w:rsidRPr="00A805AA" w:rsidRDefault="00367B4C" w:rsidP="00367B4C">
      <w:pPr>
        <w:tabs>
          <w:tab w:val="left" w:pos="5034"/>
        </w:tabs>
        <w:spacing w:line="360" w:lineRule="auto"/>
        <w:ind w:left="1080"/>
        <w:contextualSpacing/>
        <w:jc w:val="both"/>
        <w:rPr>
          <w:b/>
          <w:bCs/>
        </w:rPr>
      </w:pPr>
      <w:r w:rsidRPr="00A805AA">
        <w:rPr>
          <w:noProof/>
          <w:lang w:val="en-US" w:bidi="ml-IN"/>
        </w:rPr>
        <w:drawing>
          <wp:anchor distT="0" distB="0" distL="114300" distR="114300" simplePos="0" relativeHeight="251672576" behindDoc="0" locked="0" layoutInCell="1" allowOverlap="1">
            <wp:simplePos x="0" y="0"/>
            <wp:positionH relativeFrom="column">
              <wp:posOffset>317299</wp:posOffset>
            </wp:positionH>
            <wp:positionV relativeFrom="paragraph">
              <wp:posOffset>248117</wp:posOffset>
            </wp:positionV>
            <wp:extent cx="5091764" cy="2775819"/>
            <wp:effectExtent l="0" t="0" r="0" b="0"/>
            <wp:wrapNone/>
            <wp:docPr id="12365226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A805AA">
        <w:rPr>
          <w:b/>
          <w:bCs/>
        </w:rPr>
        <w:t xml:space="preserve">            Fig 4.13 Figure showing EPS: Colgate-Palmolive</w:t>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jc w:val="both"/>
        <w:rPr>
          <w:b/>
          <w:bCs/>
        </w:rPr>
      </w:pPr>
      <w:r w:rsidRPr="00A805AA">
        <w:rPr>
          <w:b/>
          <w:bCs/>
        </w:rPr>
        <w:t xml:space="preserve">Interpretation: </w:t>
      </w:r>
      <w:r w:rsidRPr="00A805AA">
        <w:t>Over the course of the stating quarters, Colgate-Palmolive's earnings per share (EPS) showed both growth and losses.. In June 2022, there was a decline, of 77.88% and in September 2023, there was a notable increase of 126.26% in EPS. Nevertheless, a 77.88% decline in EPS in June 2022 marked a setback for the business. In September 2022, however, there was a recovery, with an increase in EPS of 103.23%. The pattern of ups and downs persisted, suggesting some degree of performance volatility for the organization. Overall, the pattern points to growth intervals broken up by sporadic downturns, which captures the fluidity of Colgate-Palmolive's market position and its operational difficulties.</w:t>
      </w:r>
    </w:p>
    <w:p w:rsidR="00367B4C" w:rsidRPr="00A805AA" w:rsidRDefault="00367B4C" w:rsidP="00367B4C">
      <w:pPr>
        <w:tabs>
          <w:tab w:val="left" w:pos="5034"/>
        </w:tabs>
        <w:spacing w:line="360" w:lineRule="auto"/>
        <w:rPr>
          <w:sz w:val="32"/>
          <w:szCs w:val="32"/>
        </w:rPr>
      </w:pPr>
    </w:p>
    <w:p w:rsidR="00367B4C" w:rsidRPr="00A805AA" w:rsidRDefault="00367B4C" w:rsidP="00367B4C">
      <w:pPr>
        <w:numPr>
          <w:ilvl w:val="0"/>
          <w:numId w:val="31"/>
        </w:numPr>
        <w:tabs>
          <w:tab w:val="left" w:pos="5034"/>
        </w:tabs>
        <w:spacing w:line="360" w:lineRule="auto"/>
        <w:contextualSpacing/>
        <w:rPr>
          <w:b/>
          <w:bCs/>
          <w:sz w:val="28"/>
          <w:szCs w:val="28"/>
        </w:rPr>
      </w:pPr>
      <w:r w:rsidRPr="00A805AA">
        <w:rPr>
          <w:b/>
          <w:bCs/>
          <w:sz w:val="28"/>
          <w:szCs w:val="28"/>
        </w:rPr>
        <w:t xml:space="preserve">Britannia </w:t>
      </w:r>
    </w:p>
    <w:p w:rsidR="00367B4C" w:rsidRPr="00A805AA" w:rsidRDefault="00367B4C" w:rsidP="00367B4C">
      <w:pPr>
        <w:tabs>
          <w:tab w:val="left" w:pos="5034"/>
        </w:tabs>
        <w:spacing w:line="360" w:lineRule="auto"/>
        <w:ind w:left="1080"/>
        <w:contextualSpacing/>
        <w:jc w:val="both"/>
        <w:rPr>
          <w:b/>
          <w:bCs/>
        </w:rPr>
      </w:pPr>
      <w:r w:rsidRPr="00A805AA">
        <w:rPr>
          <w:b/>
          <w:bCs/>
        </w:rPr>
        <w:t>Table 4.19 Statement showing EPS: Britannia</w:t>
      </w:r>
    </w:p>
    <w:tbl>
      <w:tblPr>
        <w:tblpPr w:leftFromText="180" w:rightFromText="180" w:vertAnchor="text" w:horzAnchor="margin" w:tblpXSpec="center" w:tblpY="154"/>
        <w:tblW w:w="5601" w:type="dxa"/>
        <w:tblLook w:val="04A0"/>
      </w:tblPr>
      <w:tblGrid>
        <w:gridCol w:w="1781"/>
        <w:gridCol w:w="1501"/>
        <w:gridCol w:w="2319"/>
      </w:tblGrid>
      <w:tr w:rsidR="00367B4C" w:rsidRPr="00A805AA" w:rsidTr="00367B4C">
        <w:trPr>
          <w:trHeight w:val="663"/>
        </w:trPr>
        <w:tc>
          <w:tcPr>
            <w:tcW w:w="17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150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EPS</w:t>
            </w:r>
          </w:p>
        </w:tc>
        <w:tc>
          <w:tcPr>
            <w:tcW w:w="231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Change in EPS(%)</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15.95</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100</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15.41</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96.61</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15.77</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98.87</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lastRenderedPageBreak/>
              <w:t>Jun-22</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14.01</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87.84</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20.48</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128.40</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38.71</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242.70</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23.19</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145.39</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19</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119.12</w:t>
            </w:r>
          </w:p>
        </w:tc>
      </w:tr>
      <w:tr w:rsidR="00367B4C" w:rsidRPr="00A805AA" w:rsidTr="00367B4C">
        <w:trPr>
          <w:trHeight w:val="337"/>
        </w:trPr>
        <w:tc>
          <w:tcPr>
            <w:tcW w:w="1781"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5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24.39</w:t>
            </w:r>
          </w:p>
        </w:tc>
        <w:tc>
          <w:tcPr>
            <w:tcW w:w="231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152.92</w:t>
            </w:r>
          </w:p>
        </w:tc>
      </w:tr>
    </w:tbl>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ind w:left="1080"/>
        <w:contextualSpacing/>
        <w:jc w:val="both"/>
        <w:rPr>
          <w:b/>
          <w:bCs/>
        </w:rPr>
      </w:pPr>
      <w:r w:rsidRPr="00A805AA">
        <w:rPr>
          <w:b/>
          <w:bCs/>
        </w:rPr>
        <w:t xml:space="preserve">                         Fig 4.14 Figure showing EPS: Britannia</w:t>
      </w:r>
    </w:p>
    <w:p w:rsidR="00367B4C" w:rsidRPr="00A805AA" w:rsidRDefault="00367B4C" w:rsidP="00367B4C">
      <w:pPr>
        <w:tabs>
          <w:tab w:val="left" w:pos="5034"/>
        </w:tabs>
        <w:spacing w:line="360" w:lineRule="auto"/>
        <w:rPr>
          <w:sz w:val="32"/>
          <w:szCs w:val="32"/>
        </w:rPr>
      </w:pPr>
      <w:r w:rsidRPr="00A805AA">
        <w:rPr>
          <w:noProof/>
          <w:lang w:val="en-US" w:bidi="ml-IN"/>
        </w:rPr>
        <w:drawing>
          <wp:anchor distT="0" distB="0" distL="114300" distR="114300" simplePos="0" relativeHeight="251678720" behindDoc="0" locked="0" layoutInCell="1" allowOverlap="1">
            <wp:simplePos x="0" y="0"/>
            <wp:positionH relativeFrom="column">
              <wp:posOffset>213360</wp:posOffset>
            </wp:positionH>
            <wp:positionV relativeFrom="paragraph">
              <wp:posOffset>10160</wp:posOffset>
            </wp:positionV>
            <wp:extent cx="5052060" cy="2621280"/>
            <wp:effectExtent l="0" t="0" r="15240" b="7620"/>
            <wp:wrapNone/>
            <wp:docPr id="9914431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jc w:val="both"/>
        <w:rPr>
          <w:sz w:val="32"/>
          <w:szCs w:val="32"/>
        </w:rPr>
      </w:pPr>
      <w:r w:rsidRPr="00A805AA">
        <w:rPr>
          <w:b/>
          <w:bCs/>
        </w:rPr>
        <w:t xml:space="preserve">Interpretation: </w:t>
      </w:r>
      <w:r w:rsidRPr="00A805AA">
        <w:t>Overthe course of the reporting quarters, Britannia's earnings per share (EPS) performance showed a combination of oscillations and significant growth. The company's earnings per share (EPS) was 15.95 in September 2021, and it was largely consistent through December 2021 and March 2022. But in June 2022, there was a discernible reduction as the EPS fell to 14.01, an 87.84% decrease. With an EPS spike of 128.40% to reach 20.48 in September 2022, the turnaround officially got underway. The biggest spike occurred in December 2022, when EPS increased by an astounding 242.70% to 38.71. The growth in the following quarters was more subdued but still significant; in September 2023, EPS reached 24.39, up 152.92% from the base period. Overall the combination of stable times and notable growth spikes.</w:t>
      </w:r>
    </w:p>
    <w:p w:rsidR="00367B4C" w:rsidRPr="00A805AA" w:rsidRDefault="00367B4C" w:rsidP="00367B4C">
      <w:pPr>
        <w:numPr>
          <w:ilvl w:val="0"/>
          <w:numId w:val="31"/>
        </w:numPr>
        <w:tabs>
          <w:tab w:val="left" w:pos="5034"/>
        </w:tabs>
        <w:spacing w:line="360" w:lineRule="auto"/>
        <w:contextualSpacing/>
        <w:rPr>
          <w:b/>
          <w:bCs/>
          <w:sz w:val="28"/>
          <w:szCs w:val="28"/>
        </w:rPr>
      </w:pPr>
      <w:r w:rsidRPr="00A805AA">
        <w:rPr>
          <w:b/>
          <w:bCs/>
          <w:sz w:val="28"/>
          <w:szCs w:val="28"/>
        </w:rPr>
        <w:lastRenderedPageBreak/>
        <w:t>Dabur</w:t>
      </w:r>
    </w:p>
    <w:p w:rsidR="00367B4C" w:rsidRPr="00A805AA" w:rsidRDefault="00367B4C" w:rsidP="00367B4C">
      <w:pPr>
        <w:tabs>
          <w:tab w:val="left" w:pos="5034"/>
        </w:tabs>
        <w:spacing w:line="360" w:lineRule="auto"/>
        <w:ind w:left="1080"/>
        <w:contextualSpacing/>
        <w:jc w:val="both"/>
        <w:rPr>
          <w:b/>
          <w:bCs/>
        </w:rPr>
      </w:pPr>
      <w:r w:rsidRPr="00A805AA">
        <w:rPr>
          <w:b/>
          <w:bCs/>
        </w:rPr>
        <w:t>Table 4.20 Statement showing EPS: Dabur</w:t>
      </w:r>
    </w:p>
    <w:tbl>
      <w:tblPr>
        <w:tblW w:w="5063" w:type="dxa"/>
        <w:tblInd w:w="1978" w:type="dxa"/>
        <w:tblLook w:val="04A0"/>
      </w:tblPr>
      <w:tblGrid>
        <w:gridCol w:w="1610"/>
        <w:gridCol w:w="1355"/>
        <w:gridCol w:w="2098"/>
      </w:tblGrid>
      <w:tr w:rsidR="00367B4C" w:rsidRPr="00A805AA" w:rsidTr="00367B4C">
        <w:trPr>
          <w:trHeight w:val="648"/>
        </w:trPr>
        <w:tc>
          <w:tcPr>
            <w:tcW w:w="16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Quarters</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rPr>
                <w:rFonts w:eastAsia="Times New Roman"/>
                <w:color w:val="000000"/>
                <w:kern w:val="0"/>
                <w:lang w:eastAsia="en-IN"/>
              </w:rPr>
            </w:pPr>
            <w:r w:rsidRPr="00A805AA">
              <w:rPr>
                <w:rFonts w:eastAsia="Times New Roman"/>
                <w:color w:val="000000"/>
                <w:kern w:val="0"/>
                <w:lang w:eastAsia="en-IN"/>
              </w:rPr>
              <w:t xml:space="preserve">EPS </w:t>
            </w:r>
          </w:p>
        </w:tc>
        <w:tc>
          <w:tcPr>
            <w:tcW w:w="2098"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center"/>
              <w:rPr>
                <w:rFonts w:eastAsia="Times New Roman"/>
                <w:color w:val="000000"/>
                <w:kern w:val="0"/>
                <w:lang w:eastAsia="en-IN"/>
              </w:rPr>
            </w:pPr>
            <w:r w:rsidRPr="00A805AA">
              <w:rPr>
                <w:rFonts w:eastAsia="Times New Roman"/>
                <w:color w:val="000000"/>
                <w:kern w:val="0"/>
                <w:lang w:eastAsia="en-IN"/>
              </w:rPr>
              <w:t>Change in EPS(%)</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Sep-21</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2.85</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100</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Dec-21</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2.85</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100</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Mar-22</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1.66</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58.25</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Jun-22</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2.49</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87.37</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Sep-22</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2.77</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97.19</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Dec-22</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2.69</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94.39</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Mar-23</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1.7</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59.65</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Jun-23</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2.62</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91.93</w:t>
            </w:r>
          </w:p>
        </w:tc>
      </w:tr>
      <w:tr w:rsidR="00367B4C" w:rsidRPr="00A805AA" w:rsidTr="00367B4C">
        <w:trPr>
          <w:trHeight w:val="330"/>
        </w:trPr>
        <w:tc>
          <w:tcPr>
            <w:tcW w:w="1610"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Sep-23</w:t>
            </w:r>
          </w:p>
        </w:tc>
        <w:tc>
          <w:tcPr>
            <w:tcW w:w="135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2.91</w:t>
            </w:r>
          </w:p>
        </w:tc>
        <w:tc>
          <w:tcPr>
            <w:tcW w:w="209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360" w:lineRule="auto"/>
              <w:jc w:val="right"/>
              <w:rPr>
                <w:rFonts w:eastAsia="Times New Roman"/>
                <w:color w:val="000000"/>
                <w:kern w:val="0"/>
                <w:lang w:eastAsia="en-IN"/>
              </w:rPr>
            </w:pPr>
            <w:r w:rsidRPr="00A805AA">
              <w:rPr>
                <w:rFonts w:eastAsia="Times New Roman"/>
                <w:color w:val="000000"/>
                <w:kern w:val="0"/>
                <w:lang w:eastAsia="en-IN"/>
              </w:rPr>
              <w:t>102.11</w:t>
            </w:r>
          </w:p>
        </w:tc>
      </w:tr>
    </w:tbl>
    <w:p w:rsidR="00367B4C" w:rsidRPr="00A805AA" w:rsidRDefault="00367B4C" w:rsidP="00367B4C">
      <w:pPr>
        <w:tabs>
          <w:tab w:val="left" w:pos="2319"/>
        </w:tabs>
        <w:spacing w:line="360" w:lineRule="auto"/>
        <w:rPr>
          <w:b/>
          <w:bCs/>
          <w:sz w:val="28"/>
          <w:szCs w:val="28"/>
        </w:rPr>
      </w:pPr>
      <w:r w:rsidRPr="00A805AA">
        <w:rPr>
          <w:sz w:val="32"/>
          <w:szCs w:val="32"/>
        </w:rPr>
        <w:tab/>
      </w:r>
    </w:p>
    <w:p w:rsidR="00367B4C" w:rsidRPr="00A805AA" w:rsidRDefault="00367B4C" w:rsidP="00367B4C">
      <w:pPr>
        <w:tabs>
          <w:tab w:val="left" w:pos="2319"/>
        </w:tabs>
        <w:spacing w:line="360" w:lineRule="auto"/>
        <w:jc w:val="center"/>
      </w:pPr>
      <w:r w:rsidRPr="00A805AA">
        <w:rPr>
          <w:noProof/>
          <w:sz w:val="32"/>
          <w:szCs w:val="32"/>
          <w:lang w:val="en-US" w:bidi="ml-IN"/>
        </w:rPr>
        <w:drawing>
          <wp:anchor distT="0" distB="0" distL="114300" distR="114300" simplePos="0" relativeHeight="251673600" behindDoc="0" locked="0" layoutInCell="1" allowOverlap="1">
            <wp:simplePos x="0" y="0"/>
            <wp:positionH relativeFrom="column">
              <wp:posOffset>209026</wp:posOffset>
            </wp:positionH>
            <wp:positionV relativeFrom="paragraph">
              <wp:posOffset>189328</wp:posOffset>
            </wp:positionV>
            <wp:extent cx="5117910" cy="2524835"/>
            <wp:effectExtent l="0" t="0" r="6985" b="8890"/>
            <wp:wrapNone/>
            <wp:docPr id="189851255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A805AA">
        <w:rPr>
          <w:b/>
          <w:bCs/>
        </w:rPr>
        <w:t>Fig 4.15 Figure showing EPS: Dabur</w:t>
      </w: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Pr="00A805AA" w:rsidRDefault="00367B4C" w:rsidP="00367B4C">
      <w:pPr>
        <w:tabs>
          <w:tab w:val="left" w:pos="5034"/>
        </w:tabs>
        <w:spacing w:line="360" w:lineRule="auto"/>
        <w:rPr>
          <w:sz w:val="32"/>
          <w:szCs w:val="32"/>
        </w:rPr>
      </w:pPr>
    </w:p>
    <w:p w:rsidR="00367B4C" w:rsidRDefault="00367B4C" w:rsidP="00367B4C">
      <w:pPr>
        <w:tabs>
          <w:tab w:val="left" w:pos="5034"/>
        </w:tabs>
        <w:spacing w:line="360" w:lineRule="auto"/>
        <w:rPr>
          <w:b/>
          <w:bCs/>
        </w:rPr>
      </w:pPr>
    </w:p>
    <w:p w:rsidR="00367B4C" w:rsidRDefault="00367B4C" w:rsidP="00367B4C">
      <w:pPr>
        <w:tabs>
          <w:tab w:val="left" w:pos="5034"/>
        </w:tabs>
        <w:spacing w:line="360" w:lineRule="auto"/>
        <w:rPr>
          <w:b/>
          <w:bCs/>
        </w:rPr>
      </w:pPr>
    </w:p>
    <w:p w:rsidR="00367B4C" w:rsidRPr="00A805AA" w:rsidRDefault="00367B4C" w:rsidP="00367B4C">
      <w:pPr>
        <w:tabs>
          <w:tab w:val="left" w:pos="5034"/>
        </w:tabs>
        <w:spacing w:line="360" w:lineRule="auto"/>
        <w:rPr>
          <w:b/>
          <w:bCs/>
        </w:rPr>
      </w:pPr>
    </w:p>
    <w:p w:rsidR="00367B4C" w:rsidRDefault="00367B4C" w:rsidP="00367B4C">
      <w:pPr>
        <w:tabs>
          <w:tab w:val="left" w:pos="5034"/>
        </w:tabs>
        <w:spacing w:line="360" w:lineRule="auto"/>
      </w:pPr>
      <w:r w:rsidRPr="00A805AA">
        <w:rPr>
          <w:b/>
          <w:bCs/>
        </w:rPr>
        <w:t xml:space="preserve">Interpretation: </w:t>
      </w:r>
      <w:r w:rsidRPr="00A805AA">
        <w:t xml:space="preserve">Dabur's profits per share (EPS) trended upward throughout the course of the quarters, but there were some swings. There was no change in EPS in the next quarter, with a baseline EPS of 2.85 in September 2021. But there was a significant dip in March 2022—EPS fell to 1.66, a 58.25% loss. In June 2022, the company recovered from this setback, with an 87.37% increase in EPS to 2.49. The pattern persisted with variations, showing both expansion and contraction phases. In September 2023, Dabur's earnings per share (EPS) increased by 102.11% over the base period to 2.91. Overall, </w:t>
      </w:r>
      <w:r w:rsidRPr="00A805AA">
        <w:lastRenderedPageBreak/>
        <w:t xml:space="preserve">despite some volatility, Dabur's EPS trajectory shows resiliency and the capacity to bounce back from losses, pointing to a possibly strong position in the market. </w:t>
      </w:r>
    </w:p>
    <w:p w:rsidR="00367B4C" w:rsidRPr="00A805AA" w:rsidRDefault="00367B4C" w:rsidP="00367B4C">
      <w:pPr>
        <w:tabs>
          <w:tab w:val="left" w:pos="5034"/>
        </w:tabs>
        <w:spacing w:line="360" w:lineRule="auto"/>
      </w:pPr>
    </w:p>
    <w:p w:rsidR="00367B4C" w:rsidRPr="004926D3" w:rsidRDefault="00367B4C" w:rsidP="00367B4C">
      <w:pPr>
        <w:spacing w:line="360" w:lineRule="auto"/>
        <w:rPr>
          <w:b/>
          <w:bCs/>
          <w:sz w:val="28"/>
          <w:szCs w:val="28"/>
        </w:rPr>
      </w:pPr>
      <w:r>
        <w:rPr>
          <w:b/>
          <w:bCs/>
          <w:sz w:val="28"/>
          <w:szCs w:val="28"/>
        </w:rPr>
        <w:t>4.3</w:t>
      </w:r>
      <w:r w:rsidRPr="004926D3">
        <w:rPr>
          <w:b/>
          <w:bCs/>
          <w:sz w:val="28"/>
          <w:szCs w:val="28"/>
        </w:rPr>
        <w:t>Shareholding pattern</w:t>
      </w:r>
    </w:p>
    <w:p w:rsidR="00367B4C" w:rsidRPr="00A805AA" w:rsidRDefault="00367B4C" w:rsidP="00367B4C">
      <w:pPr>
        <w:spacing w:line="360" w:lineRule="auto"/>
      </w:pPr>
      <w:r w:rsidRPr="00A805AA">
        <w:t>A company's shareholding pattern shows who owns and how much of its stock. It functions as a kind of blueprint, outlining how shares are allocated to various investment groups, including people, institutions, and promoters. This offers important information about voting power, stability prospects, and decision-making authority.</w:t>
      </w:r>
    </w:p>
    <w:p w:rsidR="00367B4C" w:rsidRPr="00A805AA" w:rsidRDefault="00367B4C" w:rsidP="00367B4C">
      <w:pPr>
        <w:numPr>
          <w:ilvl w:val="2"/>
          <w:numId w:val="29"/>
        </w:numPr>
        <w:spacing w:line="360" w:lineRule="auto"/>
        <w:contextualSpacing/>
        <w:rPr>
          <w:b/>
          <w:bCs/>
          <w:sz w:val="28"/>
          <w:szCs w:val="28"/>
        </w:rPr>
      </w:pPr>
      <w:r w:rsidRPr="00A805AA">
        <w:rPr>
          <w:b/>
          <w:bCs/>
          <w:sz w:val="28"/>
          <w:szCs w:val="28"/>
        </w:rPr>
        <w:t>Hindustan Unilever</w:t>
      </w:r>
    </w:p>
    <w:p w:rsidR="00367B4C" w:rsidRPr="00A805AA" w:rsidRDefault="00367B4C" w:rsidP="00367B4C">
      <w:pPr>
        <w:spacing w:line="360" w:lineRule="auto"/>
        <w:ind w:left="360"/>
        <w:jc w:val="center"/>
        <w:rPr>
          <w:b/>
          <w:bCs/>
        </w:rPr>
      </w:pPr>
      <w:r w:rsidRPr="00A805AA">
        <w:rPr>
          <w:b/>
          <w:bCs/>
        </w:rPr>
        <w:t>Table 4.21 Shareholding Pattern : Hindustan Unilever</w:t>
      </w:r>
    </w:p>
    <w:tbl>
      <w:tblPr>
        <w:tblW w:w="8222" w:type="dxa"/>
        <w:tblInd w:w="118" w:type="dxa"/>
        <w:tblLook w:val="04A0"/>
      </w:tblPr>
      <w:tblGrid>
        <w:gridCol w:w="1104"/>
        <w:gridCol w:w="1561"/>
        <w:gridCol w:w="1240"/>
        <w:gridCol w:w="1240"/>
        <w:gridCol w:w="1837"/>
        <w:gridCol w:w="1240"/>
      </w:tblGrid>
      <w:tr w:rsidR="00367B4C" w:rsidRPr="00A805AA" w:rsidTr="00367B4C">
        <w:trPr>
          <w:trHeight w:val="598"/>
        </w:trPr>
        <w:tc>
          <w:tcPr>
            <w:tcW w:w="10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 Quarters</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Promoters</w:t>
            </w:r>
          </w:p>
        </w:tc>
        <w:tc>
          <w:tcPr>
            <w:tcW w:w="124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FIIs</w:t>
            </w:r>
          </w:p>
        </w:tc>
        <w:tc>
          <w:tcPr>
            <w:tcW w:w="124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DIIs</w:t>
            </w:r>
          </w:p>
        </w:tc>
        <w:tc>
          <w:tcPr>
            <w:tcW w:w="185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Government</w:t>
            </w:r>
          </w:p>
        </w:tc>
        <w:tc>
          <w:tcPr>
            <w:tcW w:w="1249"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Public</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15.45%</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10.48%</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12.17%</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14.71%</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10.85%</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12.53%</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13.66%</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11.61%</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12.83%</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13.30%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12.20%</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12.60%</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14.05%</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11.72%</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12.32%</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14.32%</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11.50%</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12.23%</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14.36%</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11.51%</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12.17%</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14.48%</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11.47%</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12.09%</w:t>
            </w:r>
          </w:p>
        </w:tc>
      </w:tr>
      <w:tr w:rsidR="00367B4C" w:rsidRPr="00A805AA" w:rsidTr="00367B4C">
        <w:trPr>
          <w:trHeight w:val="304"/>
        </w:trPr>
        <w:tc>
          <w:tcPr>
            <w:tcW w:w="105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5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61.90%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13.90%</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11.90%</w:t>
            </w:r>
          </w:p>
        </w:tc>
        <w:tc>
          <w:tcPr>
            <w:tcW w:w="18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24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12.26%</w:t>
            </w:r>
          </w:p>
        </w:tc>
      </w:tr>
    </w:tbl>
    <w:p w:rsidR="00367B4C" w:rsidRPr="00A805AA" w:rsidRDefault="00367B4C" w:rsidP="00367B4C">
      <w:pPr>
        <w:spacing w:line="360" w:lineRule="auto"/>
        <w:ind w:left="360"/>
        <w:jc w:val="center"/>
      </w:pPr>
    </w:p>
    <w:p w:rsidR="00367B4C" w:rsidRPr="00A805AA" w:rsidRDefault="00367B4C" w:rsidP="00367B4C">
      <w:pPr>
        <w:spacing w:line="360" w:lineRule="auto"/>
        <w:ind w:left="360"/>
        <w:jc w:val="center"/>
        <w:rPr>
          <w:b/>
          <w:bCs/>
        </w:rPr>
      </w:pPr>
      <w:r w:rsidRPr="00A805AA">
        <w:rPr>
          <w:noProof/>
          <w:lang w:val="en-US" w:bidi="ml-IN"/>
        </w:rPr>
        <w:drawing>
          <wp:anchor distT="0" distB="0" distL="114300" distR="114300" simplePos="0" relativeHeight="251684864" behindDoc="0" locked="0" layoutInCell="1" allowOverlap="1">
            <wp:simplePos x="0" y="0"/>
            <wp:positionH relativeFrom="margin">
              <wp:posOffset>91440</wp:posOffset>
            </wp:positionH>
            <wp:positionV relativeFrom="paragraph">
              <wp:posOffset>278130</wp:posOffset>
            </wp:positionV>
            <wp:extent cx="5158740" cy="2636520"/>
            <wp:effectExtent l="0" t="0" r="3810" b="11430"/>
            <wp:wrapNone/>
            <wp:docPr id="69116337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1A99013-E397-B60B-6B1A-0BA836EE9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A805AA">
        <w:rPr>
          <w:b/>
          <w:bCs/>
        </w:rPr>
        <w:t>Fig 4.16 Shareholding Pattern : Hindustan Unilever</w:t>
      </w:r>
    </w:p>
    <w:p w:rsidR="00367B4C" w:rsidRPr="00A805AA" w:rsidRDefault="00367B4C" w:rsidP="00367B4C">
      <w:pPr>
        <w:spacing w:line="360" w:lineRule="auto"/>
        <w:ind w:left="360"/>
        <w:jc w:val="center"/>
        <w:rPr>
          <w:sz w:val="28"/>
          <w:szCs w:val="28"/>
        </w:rPr>
      </w:pPr>
    </w:p>
    <w:p w:rsidR="00367B4C" w:rsidRPr="00A805AA" w:rsidRDefault="00367B4C" w:rsidP="00367B4C">
      <w:pPr>
        <w:spacing w:line="360" w:lineRule="auto"/>
        <w:rPr>
          <w:b/>
          <w:bCs/>
        </w:rPr>
      </w:pPr>
    </w:p>
    <w:p w:rsidR="00367B4C" w:rsidRPr="00A805AA" w:rsidRDefault="00367B4C" w:rsidP="00367B4C">
      <w:pPr>
        <w:spacing w:line="360" w:lineRule="auto"/>
        <w:rPr>
          <w:b/>
          <w:bCs/>
        </w:rPr>
      </w:pPr>
    </w:p>
    <w:p w:rsidR="00367B4C" w:rsidRPr="00A805AA" w:rsidRDefault="00367B4C" w:rsidP="00367B4C">
      <w:pPr>
        <w:spacing w:line="360" w:lineRule="auto"/>
        <w:rPr>
          <w:b/>
          <w:bCs/>
        </w:rPr>
      </w:pPr>
    </w:p>
    <w:p w:rsidR="00367B4C" w:rsidRPr="00A805AA" w:rsidRDefault="00367B4C" w:rsidP="00367B4C">
      <w:pPr>
        <w:spacing w:line="360" w:lineRule="auto"/>
        <w:rPr>
          <w:b/>
          <w:bCs/>
        </w:rPr>
      </w:pPr>
    </w:p>
    <w:p w:rsidR="00367B4C" w:rsidRPr="00A805AA" w:rsidRDefault="00367B4C" w:rsidP="00367B4C">
      <w:pPr>
        <w:spacing w:line="360" w:lineRule="auto"/>
        <w:rPr>
          <w:b/>
          <w:bCs/>
        </w:rPr>
      </w:pPr>
    </w:p>
    <w:p w:rsidR="00367B4C" w:rsidRPr="00A805AA" w:rsidRDefault="00367B4C" w:rsidP="00367B4C">
      <w:pPr>
        <w:spacing w:line="360" w:lineRule="auto"/>
        <w:jc w:val="both"/>
        <w:rPr>
          <w:b/>
          <w:bCs/>
        </w:rPr>
      </w:pPr>
    </w:p>
    <w:p w:rsidR="00367B4C" w:rsidRDefault="00367B4C" w:rsidP="00367B4C">
      <w:pPr>
        <w:spacing w:line="360" w:lineRule="auto"/>
        <w:jc w:val="both"/>
      </w:pPr>
      <w:r w:rsidRPr="00A805AA">
        <w:rPr>
          <w:b/>
          <w:bCs/>
        </w:rPr>
        <w:lastRenderedPageBreak/>
        <w:t>Interpretation:</w:t>
      </w:r>
      <w:r w:rsidRPr="00A805AA">
        <w:t xml:space="preserve"> Promoters own 61.90% of HUL's shares, which is the majority. Institutional investors, both local and foreign, control a combined 25.8%, with the public owning 12.23%. of shares. In recent years, the public's shareholding has fluctuated, although promoters and institutional investors shareholdings remained constant.</w:t>
      </w:r>
    </w:p>
    <w:p w:rsidR="00367B4C" w:rsidRPr="00A805AA" w:rsidRDefault="00367B4C" w:rsidP="00367B4C">
      <w:pPr>
        <w:spacing w:line="360" w:lineRule="auto"/>
        <w:jc w:val="both"/>
      </w:pPr>
    </w:p>
    <w:p w:rsidR="00367B4C" w:rsidRDefault="00367B4C" w:rsidP="00367B4C">
      <w:pPr>
        <w:pStyle w:val="ListParagraph"/>
        <w:spacing w:line="360" w:lineRule="auto"/>
        <w:ind w:left="1004"/>
        <w:rPr>
          <w:b/>
          <w:bCs/>
          <w:sz w:val="28"/>
          <w:szCs w:val="28"/>
        </w:rPr>
      </w:pPr>
    </w:p>
    <w:p w:rsidR="00367B4C" w:rsidRPr="004926D3" w:rsidRDefault="00367B4C" w:rsidP="00367B4C">
      <w:pPr>
        <w:pStyle w:val="ListParagraph"/>
        <w:numPr>
          <w:ilvl w:val="2"/>
          <w:numId w:val="29"/>
        </w:numPr>
        <w:spacing w:line="360" w:lineRule="auto"/>
        <w:rPr>
          <w:b/>
          <w:bCs/>
          <w:sz w:val="28"/>
          <w:szCs w:val="28"/>
        </w:rPr>
      </w:pPr>
      <w:r w:rsidRPr="004926D3">
        <w:rPr>
          <w:b/>
          <w:bCs/>
          <w:sz w:val="28"/>
          <w:szCs w:val="28"/>
        </w:rPr>
        <w:t xml:space="preserve">Indian Tobacco Company </w:t>
      </w:r>
    </w:p>
    <w:p w:rsidR="00367B4C" w:rsidRPr="00A805AA" w:rsidRDefault="00367B4C" w:rsidP="00367B4C">
      <w:pPr>
        <w:spacing w:line="360" w:lineRule="auto"/>
        <w:ind w:left="928"/>
        <w:contextualSpacing/>
        <w:rPr>
          <w:b/>
          <w:bCs/>
        </w:rPr>
      </w:pPr>
      <w:r w:rsidRPr="00A805AA">
        <w:rPr>
          <w:b/>
          <w:bCs/>
          <w:sz w:val="28"/>
          <w:szCs w:val="28"/>
        </w:rPr>
        <w:tab/>
      </w:r>
      <w:r w:rsidRPr="00A805AA">
        <w:rPr>
          <w:b/>
          <w:bCs/>
        </w:rPr>
        <w:t>Table 4.22 Shareholding Pattern : ITC</w:t>
      </w:r>
    </w:p>
    <w:tbl>
      <w:tblPr>
        <w:tblW w:w="8335" w:type="dxa"/>
        <w:tblInd w:w="118" w:type="dxa"/>
        <w:tblLook w:val="04A0"/>
      </w:tblPr>
      <w:tblGrid>
        <w:gridCol w:w="1164"/>
        <w:gridCol w:w="1600"/>
        <w:gridCol w:w="1600"/>
        <w:gridCol w:w="2371"/>
        <w:gridCol w:w="1600"/>
      </w:tblGrid>
      <w:tr w:rsidR="00367B4C" w:rsidRPr="00A805AA" w:rsidTr="00367B4C">
        <w:trPr>
          <w:trHeight w:val="420"/>
        </w:trPr>
        <w:tc>
          <w:tcPr>
            <w:tcW w:w="11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Quarters </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FIIs</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DIIs</w:t>
            </w:r>
          </w:p>
        </w:tc>
        <w:tc>
          <w:tcPr>
            <w:tcW w:w="237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Government</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Public</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10.81%</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43.72%</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45.47%</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9.99%</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43.79%</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46.22%</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11.99%</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42.77%</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46.22%</w:t>
            </w:r>
          </w:p>
        </w:tc>
      </w:tr>
      <w:tr w:rsidR="00367B4C" w:rsidRPr="00A805AA" w:rsidTr="00367B4C">
        <w:trPr>
          <w:trHeight w:val="211"/>
        </w:trPr>
        <w:tc>
          <w:tcPr>
            <w:tcW w:w="11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12.68%</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42.82%</w:t>
            </w:r>
          </w:p>
        </w:tc>
        <w:tc>
          <w:tcPr>
            <w:tcW w:w="237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44.50%</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42.68%</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42.38%</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14.87%</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42.99%</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42.19%</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14.78%</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43.35%</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42.08%</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14.52%</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43.62%</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41.94%</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14.41%</w:t>
            </w:r>
          </w:p>
        </w:tc>
      </w:tr>
      <w:tr w:rsidR="00367B4C" w:rsidRPr="00A805AA" w:rsidTr="00367B4C">
        <w:trPr>
          <w:trHeight w:val="211"/>
        </w:trPr>
        <w:tc>
          <w:tcPr>
            <w:tcW w:w="1164"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43.34%</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41.94%</w:t>
            </w:r>
          </w:p>
        </w:tc>
        <w:tc>
          <w:tcPr>
            <w:tcW w:w="237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0.04%</w:t>
            </w:r>
          </w:p>
        </w:tc>
        <w:tc>
          <w:tcPr>
            <w:tcW w:w="160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14.68%</w:t>
            </w:r>
          </w:p>
        </w:tc>
      </w:tr>
    </w:tbl>
    <w:p w:rsidR="00367B4C" w:rsidRPr="00A805AA" w:rsidRDefault="00367B4C" w:rsidP="00367B4C">
      <w:pPr>
        <w:spacing w:line="360" w:lineRule="auto"/>
        <w:rPr>
          <w:b/>
          <w:bCs/>
        </w:rPr>
      </w:pPr>
    </w:p>
    <w:p w:rsidR="00367B4C" w:rsidRPr="00A805AA" w:rsidRDefault="00367B4C" w:rsidP="00367B4C">
      <w:pPr>
        <w:spacing w:line="360" w:lineRule="auto"/>
        <w:jc w:val="center"/>
        <w:rPr>
          <w:b/>
          <w:bCs/>
        </w:rPr>
      </w:pPr>
      <w:r w:rsidRPr="00A805AA">
        <w:rPr>
          <w:b/>
          <w:bCs/>
        </w:rPr>
        <w:t>Fig 4.17 Shareholding Pattern: ITC</w:t>
      </w:r>
    </w:p>
    <w:p w:rsidR="00367B4C" w:rsidRPr="00A805AA" w:rsidRDefault="00367B4C" w:rsidP="00367B4C">
      <w:pPr>
        <w:spacing w:line="360" w:lineRule="auto"/>
        <w:jc w:val="center"/>
        <w:rPr>
          <w:b/>
          <w:bCs/>
          <w:sz w:val="28"/>
          <w:szCs w:val="28"/>
        </w:rPr>
      </w:pPr>
      <w:r w:rsidRPr="00A805AA">
        <w:rPr>
          <w:noProof/>
          <w:lang w:val="en-US" w:bidi="ml-IN"/>
        </w:rPr>
        <w:drawing>
          <wp:anchor distT="0" distB="0" distL="114300" distR="114300" simplePos="0" relativeHeight="251674624" behindDoc="0" locked="0" layoutInCell="1" allowOverlap="1">
            <wp:simplePos x="0" y="0"/>
            <wp:positionH relativeFrom="column">
              <wp:posOffset>68581</wp:posOffset>
            </wp:positionH>
            <wp:positionV relativeFrom="paragraph">
              <wp:posOffset>26036</wp:posOffset>
            </wp:positionV>
            <wp:extent cx="5288280" cy="3108960"/>
            <wp:effectExtent l="0" t="0" r="7620" b="15240"/>
            <wp:wrapNone/>
            <wp:docPr id="200700224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33F52A-09A4-1274-2CBB-10BBA7C9F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67B4C" w:rsidRPr="00A805AA" w:rsidRDefault="00367B4C" w:rsidP="00367B4C">
      <w:pPr>
        <w:spacing w:line="360" w:lineRule="auto"/>
        <w:rPr>
          <w:sz w:val="28"/>
          <w:szCs w:val="28"/>
        </w:rPr>
      </w:pPr>
    </w:p>
    <w:p w:rsidR="00367B4C" w:rsidRPr="00A805AA" w:rsidRDefault="00367B4C" w:rsidP="00367B4C">
      <w:pPr>
        <w:spacing w:line="360" w:lineRule="auto"/>
        <w:rPr>
          <w:sz w:val="28"/>
          <w:szCs w:val="28"/>
        </w:rPr>
      </w:pPr>
    </w:p>
    <w:p w:rsidR="00367B4C" w:rsidRPr="00A805AA" w:rsidRDefault="00367B4C" w:rsidP="00367B4C">
      <w:pPr>
        <w:spacing w:line="360" w:lineRule="auto"/>
        <w:rPr>
          <w:sz w:val="28"/>
          <w:szCs w:val="28"/>
        </w:rPr>
      </w:pPr>
    </w:p>
    <w:p w:rsidR="00367B4C" w:rsidRPr="00A805AA" w:rsidRDefault="00367B4C" w:rsidP="00367B4C">
      <w:pPr>
        <w:spacing w:line="360" w:lineRule="auto"/>
        <w:rPr>
          <w:sz w:val="28"/>
          <w:szCs w:val="28"/>
        </w:rPr>
      </w:pPr>
    </w:p>
    <w:p w:rsidR="00367B4C" w:rsidRPr="00A805AA" w:rsidRDefault="00367B4C" w:rsidP="00367B4C">
      <w:pPr>
        <w:spacing w:line="360" w:lineRule="auto"/>
        <w:rPr>
          <w:sz w:val="28"/>
          <w:szCs w:val="28"/>
        </w:rPr>
      </w:pPr>
    </w:p>
    <w:p w:rsidR="00367B4C" w:rsidRPr="00A805AA" w:rsidRDefault="00367B4C" w:rsidP="00367B4C">
      <w:pPr>
        <w:spacing w:line="360" w:lineRule="auto"/>
        <w:rPr>
          <w:sz w:val="28"/>
          <w:szCs w:val="28"/>
        </w:rPr>
      </w:pPr>
    </w:p>
    <w:p w:rsidR="00367B4C" w:rsidRPr="00A805AA" w:rsidRDefault="00367B4C" w:rsidP="00367B4C">
      <w:pPr>
        <w:spacing w:line="360" w:lineRule="auto"/>
        <w:jc w:val="both"/>
        <w:rPr>
          <w:sz w:val="28"/>
          <w:szCs w:val="28"/>
        </w:rPr>
      </w:pPr>
    </w:p>
    <w:p w:rsidR="00367B4C" w:rsidRPr="00A805AA" w:rsidRDefault="00367B4C" w:rsidP="00367B4C">
      <w:pPr>
        <w:spacing w:line="360" w:lineRule="auto"/>
        <w:jc w:val="both"/>
      </w:pPr>
      <w:r w:rsidRPr="00A805AA">
        <w:rPr>
          <w:b/>
          <w:bCs/>
        </w:rPr>
        <w:lastRenderedPageBreak/>
        <w:t>Interpretation:</w:t>
      </w:r>
      <w:r w:rsidRPr="00A805AA">
        <w:t xml:space="preserve"> Over the last nine quarters, FIIs have gradually raised their ownership in ITC, going from 10.81% in September 2021 to 43.34% in September 2023. This implies that international investors are starting to have more faith in ITC's future. Over the same time span, DIIs have also expanded their ownership, but less significantly, from 43.72% to 41.94%. This implies that although local investors are not as bullish as international investors, they are still rather favourable about ITC. Over the previous nine quarters, the shareholding of government has stayed largely consistent and public shareholding were decreasing from 45.47% to 14.68%.</w:t>
      </w:r>
    </w:p>
    <w:p w:rsidR="00367B4C" w:rsidRDefault="00367B4C" w:rsidP="00367B4C">
      <w:pPr>
        <w:pStyle w:val="ListParagraph"/>
        <w:spacing w:line="360" w:lineRule="auto"/>
        <w:ind w:left="1440"/>
        <w:rPr>
          <w:b/>
          <w:bCs/>
          <w:sz w:val="28"/>
          <w:szCs w:val="28"/>
        </w:rPr>
      </w:pPr>
    </w:p>
    <w:p w:rsidR="00367B4C" w:rsidRPr="003470FC" w:rsidRDefault="00367B4C" w:rsidP="00367B4C">
      <w:pPr>
        <w:pStyle w:val="ListParagraph"/>
        <w:numPr>
          <w:ilvl w:val="2"/>
          <w:numId w:val="44"/>
        </w:numPr>
        <w:spacing w:line="360" w:lineRule="auto"/>
        <w:rPr>
          <w:b/>
          <w:bCs/>
          <w:sz w:val="28"/>
          <w:szCs w:val="28"/>
        </w:rPr>
      </w:pPr>
      <w:r w:rsidRPr="003470FC">
        <w:rPr>
          <w:b/>
          <w:bCs/>
          <w:sz w:val="28"/>
          <w:szCs w:val="28"/>
        </w:rPr>
        <w:t>Colgate-Palmolive</w:t>
      </w:r>
    </w:p>
    <w:p w:rsidR="00367B4C" w:rsidRPr="00A805AA" w:rsidRDefault="00367B4C" w:rsidP="00367B4C">
      <w:pPr>
        <w:spacing w:line="360" w:lineRule="auto"/>
        <w:ind w:left="284"/>
        <w:jc w:val="center"/>
        <w:rPr>
          <w:b/>
          <w:bCs/>
        </w:rPr>
      </w:pPr>
      <w:r w:rsidRPr="00A805AA">
        <w:rPr>
          <w:b/>
          <w:bCs/>
        </w:rPr>
        <w:t>Table 4.23 Shareholding Pattern : Colgate-Palmolive</w:t>
      </w:r>
    </w:p>
    <w:tbl>
      <w:tblPr>
        <w:tblW w:w="8341" w:type="dxa"/>
        <w:tblInd w:w="118" w:type="dxa"/>
        <w:tblLook w:val="04A0"/>
      </w:tblPr>
      <w:tblGrid>
        <w:gridCol w:w="1104"/>
        <w:gridCol w:w="1621"/>
        <w:gridCol w:w="1289"/>
        <w:gridCol w:w="1128"/>
        <w:gridCol w:w="1910"/>
        <w:gridCol w:w="1289"/>
      </w:tblGrid>
      <w:tr w:rsidR="00367B4C" w:rsidRPr="00A805AA" w:rsidTr="00367B4C">
        <w:trPr>
          <w:trHeight w:val="347"/>
        </w:trPr>
        <w:tc>
          <w:tcPr>
            <w:tcW w:w="10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 xml:space="preserve"> Quarters </w:t>
            </w:r>
          </w:p>
        </w:tc>
        <w:tc>
          <w:tcPr>
            <w:tcW w:w="162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Promoters</w:t>
            </w:r>
          </w:p>
        </w:tc>
        <w:tc>
          <w:tcPr>
            <w:tcW w:w="129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FIIs</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DIIs</w:t>
            </w:r>
          </w:p>
        </w:tc>
        <w:tc>
          <w:tcPr>
            <w:tcW w:w="1913"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Government</w:t>
            </w:r>
          </w:p>
        </w:tc>
        <w:tc>
          <w:tcPr>
            <w:tcW w:w="129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Public</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19.14%</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7.42%</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22.16%</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18.02%</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8.17%</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22.53%</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18.64%</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8.07%</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22.01%</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18.70%</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8.83%</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0.29%</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21.19%</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19.46%</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8.99%</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20.25%</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21.11%</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7.55%</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20.05%</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21.50%</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7.34%</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19.87%</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21.80%</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7.52%</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19.41%</w:t>
            </w:r>
          </w:p>
        </w:tc>
      </w:tr>
      <w:tr w:rsidR="00367B4C" w:rsidRPr="00A805AA" w:rsidTr="00367B4C">
        <w:trPr>
          <w:trHeight w:val="176"/>
        </w:trPr>
        <w:tc>
          <w:tcPr>
            <w:tcW w:w="1093"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62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51.00%</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24.08%</w:t>
            </w:r>
          </w:p>
        </w:tc>
        <w:tc>
          <w:tcPr>
            <w:tcW w:w="113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5.59%</w:t>
            </w:r>
          </w:p>
        </w:tc>
        <w:tc>
          <w:tcPr>
            <w:tcW w:w="19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0.28%</w:t>
            </w:r>
          </w:p>
        </w:tc>
        <w:tc>
          <w:tcPr>
            <w:tcW w:w="129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19.03%</w:t>
            </w:r>
          </w:p>
        </w:tc>
      </w:tr>
    </w:tbl>
    <w:p w:rsidR="00367B4C" w:rsidRPr="00A805AA" w:rsidRDefault="00367B4C" w:rsidP="00367B4C">
      <w:pPr>
        <w:spacing w:line="360" w:lineRule="auto"/>
        <w:ind w:left="284"/>
        <w:jc w:val="center"/>
        <w:rPr>
          <w:b/>
          <w:bCs/>
          <w:sz w:val="28"/>
          <w:szCs w:val="28"/>
        </w:rPr>
      </w:pPr>
    </w:p>
    <w:p w:rsidR="00367B4C" w:rsidRPr="00A805AA" w:rsidRDefault="00367B4C" w:rsidP="00367B4C">
      <w:pPr>
        <w:spacing w:line="360" w:lineRule="auto"/>
        <w:jc w:val="center"/>
        <w:rPr>
          <w:b/>
          <w:bCs/>
        </w:rPr>
      </w:pPr>
      <w:bookmarkStart w:id="23" w:name="_Hlk159165784"/>
      <w:r w:rsidRPr="00A805AA">
        <w:rPr>
          <w:b/>
          <w:bCs/>
        </w:rPr>
        <w:t>Fig 4.18 Shareholding Pattern : Colgate-Palmolive</w:t>
      </w:r>
    </w:p>
    <w:bookmarkEnd w:id="23"/>
    <w:p w:rsidR="00367B4C" w:rsidRPr="00A805AA" w:rsidRDefault="00367B4C" w:rsidP="00367B4C">
      <w:pPr>
        <w:spacing w:line="360" w:lineRule="auto"/>
        <w:jc w:val="center"/>
        <w:rPr>
          <w:b/>
          <w:bCs/>
          <w:sz w:val="28"/>
          <w:szCs w:val="28"/>
        </w:rPr>
      </w:pPr>
      <w:r w:rsidRPr="00A805AA">
        <w:rPr>
          <w:noProof/>
          <w:lang w:val="en-US" w:bidi="ml-IN"/>
        </w:rPr>
        <w:drawing>
          <wp:inline distT="0" distB="0" distL="0" distR="0">
            <wp:extent cx="5311140" cy="2849880"/>
            <wp:effectExtent l="0" t="0" r="3810" b="7620"/>
            <wp:docPr id="207586256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578D50-B4BB-B437-3DC6-6ACF39C11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7B4C" w:rsidRDefault="00367B4C" w:rsidP="00367B4C">
      <w:pPr>
        <w:tabs>
          <w:tab w:val="left" w:pos="1743"/>
        </w:tabs>
        <w:spacing w:line="360" w:lineRule="auto"/>
        <w:jc w:val="both"/>
        <w:rPr>
          <w:sz w:val="28"/>
          <w:szCs w:val="28"/>
        </w:rPr>
      </w:pPr>
      <w:r w:rsidRPr="00A805AA">
        <w:rPr>
          <w:b/>
          <w:bCs/>
        </w:rPr>
        <w:lastRenderedPageBreak/>
        <w:t>Interpretation</w:t>
      </w:r>
      <w:r w:rsidRPr="00A805AA">
        <w:t>: The promoter holding over the nine quarters displayed has stayed constant at 51%.. From 19.14% in September 2021 to 24.08% in September 2023, FIIs have expanded their ownership. This is a notable rise, indicating that foreign investors are growing increasingly optimistic about Colgate-Palmolive's future. Over the same period, DIIs have also raised their stake, but to a lesser extent from 7.42% to 7.52%. This implies that although domestic investors are not as enthusiastic as foreign investors, they are still rather favourable about Colgate-Palmolive. Over the previous nine quarters, the shareholding of the public and government have stayed largely consistent.</w:t>
      </w:r>
      <w:r w:rsidRPr="00A805AA">
        <w:rPr>
          <w:sz w:val="28"/>
          <w:szCs w:val="28"/>
        </w:rPr>
        <w:tab/>
      </w:r>
    </w:p>
    <w:p w:rsidR="00367B4C" w:rsidRDefault="00367B4C" w:rsidP="00367B4C">
      <w:pPr>
        <w:tabs>
          <w:tab w:val="left" w:pos="1743"/>
        </w:tabs>
        <w:spacing w:line="360" w:lineRule="auto"/>
        <w:jc w:val="both"/>
        <w:rPr>
          <w:sz w:val="28"/>
          <w:szCs w:val="28"/>
        </w:rPr>
      </w:pPr>
    </w:p>
    <w:p w:rsidR="00367B4C" w:rsidRPr="00A805AA" w:rsidRDefault="00367B4C" w:rsidP="00367B4C">
      <w:pPr>
        <w:tabs>
          <w:tab w:val="left" w:pos="1743"/>
        </w:tabs>
        <w:spacing w:line="360" w:lineRule="auto"/>
        <w:jc w:val="both"/>
        <w:rPr>
          <w:sz w:val="28"/>
          <w:szCs w:val="28"/>
        </w:rPr>
      </w:pPr>
    </w:p>
    <w:p w:rsidR="00367B4C" w:rsidRPr="00A805AA" w:rsidRDefault="00367B4C" w:rsidP="00367B4C">
      <w:pPr>
        <w:numPr>
          <w:ilvl w:val="2"/>
          <w:numId w:val="44"/>
        </w:numPr>
        <w:tabs>
          <w:tab w:val="left" w:pos="1743"/>
        </w:tabs>
        <w:spacing w:line="360" w:lineRule="auto"/>
        <w:contextualSpacing/>
        <w:rPr>
          <w:b/>
          <w:bCs/>
          <w:sz w:val="28"/>
          <w:szCs w:val="28"/>
        </w:rPr>
      </w:pPr>
      <w:r w:rsidRPr="00A805AA">
        <w:rPr>
          <w:b/>
          <w:bCs/>
          <w:sz w:val="28"/>
          <w:szCs w:val="28"/>
        </w:rPr>
        <w:t xml:space="preserve">Britannia </w:t>
      </w:r>
    </w:p>
    <w:p w:rsidR="00367B4C" w:rsidRPr="00A805AA" w:rsidRDefault="00367B4C" w:rsidP="00367B4C">
      <w:pPr>
        <w:spacing w:line="360" w:lineRule="auto"/>
        <w:ind w:left="284"/>
        <w:jc w:val="center"/>
        <w:rPr>
          <w:b/>
          <w:bCs/>
        </w:rPr>
      </w:pPr>
      <w:r w:rsidRPr="00A805AA">
        <w:rPr>
          <w:b/>
          <w:bCs/>
        </w:rPr>
        <w:t>Table 4.24 Shareholding Pattern : Britannia</w:t>
      </w:r>
    </w:p>
    <w:tbl>
      <w:tblPr>
        <w:tblW w:w="8265" w:type="dxa"/>
        <w:tblInd w:w="118" w:type="dxa"/>
        <w:tblLook w:val="04A0"/>
      </w:tblPr>
      <w:tblGrid>
        <w:gridCol w:w="1255"/>
        <w:gridCol w:w="2072"/>
        <w:gridCol w:w="1646"/>
        <w:gridCol w:w="1646"/>
        <w:gridCol w:w="1646"/>
      </w:tblGrid>
      <w:tr w:rsidR="00367B4C" w:rsidRPr="00A805AA" w:rsidTr="00367B4C">
        <w:trPr>
          <w:trHeight w:val="402"/>
        </w:trPr>
        <w:tc>
          <w:tcPr>
            <w:tcW w:w="12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Quarters </w:t>
            </w:r>
          </w:p>
        </w:tc>
        <w:tc>
          <w:tcPr>
            <w:tcW w:w="2072"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Promoters</w:t>
            </w:r>
          </w:p>
        </w:tc>
        <w:tc>
          <w:tcPr>
            <w:tcW w:w="164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FIIs</w:t>
            </w:r>
          </w:p>
        </w:tc>
        <w:tc>
          <w:tcPr>
            <w:tcW w:w="164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DIIs</w:t>
            </w:r>
          </w:p>
        </w:tc>
        <w:tc>
          <w:tcPr>
            <w:tcW w:w="164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Public</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Sep-21</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17.65%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11.53%</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20.28%</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Dec-21</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17.59%</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11.53%</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20.34%</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Mar-22</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17.17%</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11.53%</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20.34%</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Jun-22</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16.65%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8.74%</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24.06%</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Sep-22</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17.18%</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16.12%</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16.14%</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Dec-22</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18.46%</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15.08%</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15.90%</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Mar-23</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14.22%</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15.69%</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Jun-23</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21.29%</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12.46%</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15.69%</w:t>
            </w:r>
          </w:p>
        </w:tc>
      </w:tr>
      <w:tr w:rsidR="00367B4C" w:rsidRPr="00A805AA" w:rsidTr="00367B4C">
        <w:trPr>
          <w:trHeight w:val="204"/>
        </w:trPr>
        <w:tc>
          <w:tcPr>
            <w:tcW w:w="125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Sep-23</w:t>
            </w:r>
          </w:p>
        </w:tc>
        <w:tc>
          <w:tcPr>
            <w:tcW w:w="2072"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50.55%</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19.66%</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13.84%</w:t>
            </w:r>
          </w:p>
        </w:tc>
        <w:tc>
          <w:tcPr>
            <w:tcW w:w="16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15.94%</w:t>
            </w:r>
          </w:p>
        </w:tc>
      </w:tr>
    </w:tbl>
    <w:p w:rsidR="00367B4C" w:rsidRPr="00A805AA" w:rsidRDefault="00367B4C" w:rsidP="00367B4C">
      <w:pPr>
        <w:spacing w:line="360" w:lineRule="auto"/>
        <w:ind w:left="284"/>
        <w:jc w:val="center"/>
        <w:rPr>
          <w:b/>
          <w:bCs/>
          <w:sz w:val="28"/>
          <w:szCs w:val="28"/>
        </w:rPr>
      </w:pPr>
    </w:p>
    <w:p w:rsidR="00367B4C" w:rsidRPr="00A805AA" w:rsidRDefault="00367B4C" w:rsidP="00367B4C">
      <w:pPr>
        <w:spacing w:line="360" w:lineRule="auto"/>
        <w:jc w:val="center"/>
        <w:rPr>
          <w:b/>
          <w:bCs/>
        </w:rPr>
      </w:pPr>
      <w:r w:rsidRPr="00A805AA">
        <w:rPr>
          <w:b/>
          <w:bCs/>
        </w:rPr>
        <w:t>Fig 4.19 Shareholding Pattern : Britannia</w:t>
      </w:r>
    </w:p>
    <w:p w:rsidR="00367B4C" w:rsidRPr="00A805AA" w:rsidRDefault="00367B4C" w:rsidP="00367B4C">
      <w:pPr>
        <w:spacing w:line="360" w:lineRule="auto"/>
        <w:jc w:val="center"/>
        <w:rPr>
          <w:b/>
          <w:bCs/>
          <w:sz w:val="28"/>
          <w:szCs w:val="28"/>
        </w:rPr>
      </w:pPr>
      <w:r w:rsidRPr="00A805AA">
        <w:rPr>
          <w:noProof/>
          <w:lang w:val="en-US" w:bidi="ml-IN"/>
        </w:rPr>
        <w:lastRenderedPageBreak/>
        <w:drawing>
          <wp:inline distT="0" distB="0" distL="0" distR="0">
            <wp:extent cx="5202091" cy="3135086"/>
            <wp:effectExtent l="0" t="0" r="0" b="0"/>
            <wp:docPr id="193380558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9D98B-D179-D709-AE07-EC447CF9A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7B4C" w:rsidRDefault="00367B4C" w:rsidP="00367B4C">
      <w:pPr>
        <w:tabs>
          <w:tab w:val="left" w:pos="1743"/>
        </w:tabs>
        <w:spacing w:line="360" w:lineRule="auto"/>
        <w:jc w:val="both"/>
      </w:pPr>
      <w:r w:rsidRPr="00A805AA">
        <w:rPr>
          <w:b/>
          <w:bCs/>
        </w:rPr>
        <w:t xml:space="preserve">Interpretation: </w:t>
      </w:r>
      <w:r w:rsidRPr="00A805AA">
        <w:t>The promoters shareholding over the last two years have stayed relatively stable at 50.55%. Over the previous two years, FII holdings have generally increased, with minor fluctuations. They went from 17.65% in September 2021 to 19.66% in September 2023. While holdings of DII have varied over the last two years from 11.53% in September 2021 to 12.46% in September 2023,they have typically been declining. Although they have varied over the last two years from 20.28% in September 2021 to 15.94% in September 2023 public holdings have also been declining overall.</w:t>
      </w:r>
    </w:p>
    <w:p w:rsidR="00367B4C" w:rsidRPr="00A805AA" w:rsidRDefault="00367B4C" w:rsidP="00367B4C">
      <w:pPr>
        <w:tabs>
          <w:tab w:val="left" w:pos="1743"/>
        </w:tabs>
        <w:spacing w:line="360" w:lineRule="auto"/>
        <w:jc w:val="both"/>
      </w:pPr>
    </w:p>
    <w:p w:rsidR="00367B4C" w:rsidRPr="003470FC" w:rsidRDefault="00367B4C" w:rsidP="00367B4C">
      <w:pPr>
        <w:pStyle w:val="ListParagraph"/>
        <w:numPr>
          <w:ilvl w:val="2"/>
          <w:numId w:val="44"/>
        </w:numPr>
        <w:tabs>
          <w:tab w:val="left" w:pos="1743"/>
        </w:tabs>
        <w:spacing w:line="360" w:lineRule="auto"/>
        <w:rPr>
          <w:b/>
          <w:bCs/>
          <w:sz w:val="28"/>
          <w:szCs w:val="28"/>
        </w:rPr>
      </w:pPr>
      <w:r w:rsidRPr="003470FC">
        <w:rPr>
          <w:b/>
          <w:bCs/>
          <w:sz w:val="28"/>
          <w:szCs w:val="28"/>
        </w:rPr>
        <w:t>Dabur</w:t>
      </w:r>
    </w:p>
    <w:p w:rsidR="00367B4C" w:rsidRPr="00A805AA" w:rsidRDefault="00367B4C" w:rsidP="00367B4C">
      <w:pPr>
        <w:spacing w:line="360" w:lineRule="auto"/>
        <w:ind w:left="284"/>
        <w:jc w:val="center"/>
        <w:rPr>
          <w:b/>
          <w:bCs/>
        </w:rPr>
      </w:pPr>
      <w:r w:rsidRPr="00A805AA">
        <w:rPr>
          <w:b/>
          <w:bCs/>
        </w:rPr>
        <w:t>Table 4.25 Shareholding Pattern : Dabur</w:t>
      </w:r>
    </w:p>
    <w:tbl>
      <w:tblPr>
        <w:tblW w:w="8322" w:type="dxa"/>
        <w:tblInd w:w="118" w:type="dxa"/>
        <w:tblLook w:val="04A0"/>
      </w:tblPr>
      <w:tblGrid>
        <w:gridCol w:w="1103"/>
        <w:gridCol w:w="1654"/>
        <w:gridCol w:w="1317"/>
        <w:gridCol w:w="1150"/>
        <w:gridCol w:w="1948"/>
        <w:gridCol w:w="1150"/>
      </w:tblGrid>
      <w:tr w:rsidR="00367B4C" w:rsidRPr="00A805AA" w:rsidTr="00367B4C">
        <w:trPr>
          <w:trHeight w:val="374"/>
        </w:trPr>
        <w:tc>
          <w:tcPr>
            <w:tcW w:w="10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 Quarters</w:t>
            </w:r>
          </w:p>
        </w:tc>
        <w:tc>
          <w:tcPr>
            <w:tcW w:w="1656"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Promoters</w:t>
            </w:r>
          </w:p>
        </w:tc>
        <w:tc>
          <w:tcPr>
            <w:tcW w:w="1318"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FIIs</w:t>
            </w:r>
          </w:p>
        </w:tc>
        <w:tc>
          <w:tcPr>
            <w:tcW w:w="115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DIIs</w:t>
            </w:r>
          </w:p>
        </w:tc>
        <w:tc>
          <w:tcPr>
            <w:tcW w:w="1950"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Government</w:t>
            </w:r>
          </w:p>
        </w:tc>
        <w:tc>
          <w:tcPr>
            <w:tcW w:w="1151" w:type="dxa"/>
            <w:tcBorders>
              <w:top w:val="single" w:sz="8" w:space="0" w:color="auto"/>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Public</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Sep-21</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67.36%</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21.35%</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3.41%</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7.87%</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Dec-21</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67.37%</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21.11%</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3.59%</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7.93%</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Mar-22</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67.38%</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20.43%</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3.83%</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8.36%</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Jun-22</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67.24%</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20.23%</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4.04%</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0.00%</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8.05%</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Sep-22</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67.23%</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20.24%</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6.57%</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0.06%</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5.89%</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Dec-22</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66.23%</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20.47%</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7.48%</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0.07%</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5.74%</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Mar-23</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66.23%</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19.73%</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8.31%</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0.07%</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5.65%</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Jun-23</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66.24%</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19.39%</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8.75%</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0.07%</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5.57%</w:t>
            </w:r>
          </w:p>
        </w:tc>
      </w:tr>
      <w:tr w:rsidR="00367B4C" w:rsidRPr="00A805AA" w:rsidTr="00367B4C">
        <w:trPr>
          <w:trHeight w:val="190"/>
        </w:trPr>
        <w:tc>
          <w:tcPr>
            <w:tcW w:w="1096"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Sep-23</w:t>
            </w:r>
          </w:p>
        </w:tc>
        <w:tc>
          <w:tcPr>
            <w:tcW w:w="165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66.24%</w:t>
            </w:r>
          </w:p>
        </w:tc>
        <w:tc>
          <w:tcPr>
            <w:tcW w:w="1318"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18.37%</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9.78%</w:t>
            </w:r>
          </w:p>
        </w:tc>
        <w:tc>
          <w:tcPr>
            <w:tcW w:w="1950"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0.07%</w:t>
            </w:r>
          </w:p>
        </w:tc>
        <w:tc>
          <w:tcPr>
            <w:tcW w:w="115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5.54%</w:t>
            </w:r>
          </w:p>
        </w:tc>
      </w:tr>
    </w:tbl>
    <w:p w:rsidR="00367B4C" w:rsidRPr="00A805AA" w:rsidRDefault="00367B4C" w:rsidP="00367B4C">
      <w:pPr>
        <w:spacing w:line="360" w:lineRule="auto"/>
        <w:ind w:left="284"/>
        <w:jc w:val="center"/>
        <w:rPr>
          <w:b/>
          <w:bCs/>
          <w:sz w:val="28"/>
          <w:szCs w:val="28"/>
        </w:rPr>
      </w:pPr>
    </w:p>
    <w:p w:rsidR="00367B4C" w:rsidRPr="00A805AA" w:rsidRDefault="00367B4C" w:rsidP="00367B4C">
      <w:pPr>
        <w:tabs>
          <w:tab w:val="left" w:pos="1743"/>
        </w:tabs>
        <w:spacing w:line="360" w:lineRule="auto"/>
        <w:ind w:left="284"/>
        <w:jc w:val="center"/>
        <w:rPr>
          <w:b/>
          <w:bCs/>
        </w:rPr>
      </w:pPr>
      <w:r w:rsidRPr="00A805AA">
        <w:rPr>
          <w:noProof/>
          <w:lang w:val="en-US" w:bidi="ml-IN"/>
        </w:rPr>
        <w:lastRenderedPageBreak/>
        <w:drawing>
          <wp:anchor distT="0" distB="0" distL="114300" distR="114300" simplePos="0" relativeHeight="251677696" behindDoc="0" locked="0" layoutInCell="1" allowOverlap="1">
            <wp:simplePos x="0" y="0"/>
            <wp:positionH relativeFrom="column">
              <wp:posOffset>129540</wp:posOffset>
            </wp:positionH>
            <wp:positionV relativeFrom="paragraph">
              <wp:posOffset>292100</wp:posOffset>
            </wp:positionV>
            <wp:extent cx="5212080" cy="2491740"/>
            <wp:effectExtent l="0" t="0" r="7620" b="3810"/>
            <wp:wrapNone/>
            <wp:docPr id="1526375493"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2FFD84-AEDC-6C03-9383-4D33EA328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A805AA">
        <w:rPr>
          <w:b/>
          <w:bCs/>
        </w:rPr>
        <w:t>Fig 4.20 Shareholding Pattern : Dabur</w:t>
      </w:r>
    </w:p>
    <w:p w:rsidR="00367B4C" w:rsidRPr="00A805AA" w:rsidRDefault="00367B4C" w:rsidP="00367B4C">
      <w:pPr>
        <w:tabs>
          <w:tab w:val="left" w:pos="2311"/>
        </w:tabs>
        <w:spacing w:line="360" w:lineRule="auto"/>
        <w:rPr>
          <w:sz w:val="28"/>
          <w:szCs w:val="28"/>
        </w:rPr>
      </w:pPr>
      <w:r w:rsidRPr="00A805AA">
        <w:rPr>
          <w:sz w:val="28"/>
          <w:szCs w:val="28"/>
        </w:rPr>
        <w:tab/>
      </w:r>
    </w:p>
    <w:p w:rsidR="00367B4C" w:rsidRPr="00A805AA" w:rsidRDefault="00367B4C" w:rsidP="00367B4C">
      <w:pPr>
        <w:spacing w:line="360" w:lineRule="auto"/>
        <w:jc w:val="both"/>
        <w:rPr>
          <w:b/>
          <w:bCs/>
        </w:rPr>
      </w:pPr>
    </w:p>
    <w:p w:rsidR="00367B4C" w:rsidRPr="00A805AA" w:rsidRDefault="00367B4C" w:rsidP="00367B4C">
      <w:pPr>
        <w:spacing w:line="360" w:lineRule="auto"/>
        <w:jc w:val="both"/>
        <w:rPr>
          <w:b/>
          <w:bCs/>
        </w:rPr>
      </w:pPr>
    </w:p>
    <w:p w:rsidR="00367B4C" w:rsidRPr="00A805AA" w:rsidRDefault="00367B4C" w:rsidP="00367B4C">
      <w:pPr>
        <w:spacing w:line="360" w:lineRule="auto"/>
        <w:jc w:val="both"/>
        <w:rPr>
          <w:b/>
          <w:bCs/>
        </w:rPr>
      </w:pPr>
    </w:p>
    <w:p w:rsidR="00367B4C" w:rsidRPr="00A805AA" w:rsidRDefault="00367B4C" w:rsidP="00367B4C">
      <w:pPr>
        <w:spacing w:line="360" w:lineRule="auto"/>
        <w:jc w:val="both"/>
        <w:rPr>
          <w:b/>
          <w:bCs/>
        </w:rPr>
      </w:pPr>
    </w:p>
    <w:p w:rsidR="00367B4C" w:rsidRPr="00A805AA" w:rsidRDefault="00367B4C" w:rsidP="00367B4C">
      <w:pPr>
        <w:spacing w:line="360" w:lineRule="auto"/>
        <w:jc w:val="both"/>
        <w:rPr>
          <w:b/>
          <w:bCs/>
        </w:rPr>
      </w:pPr>
    </w:p>
    <w:p w:rsidR="00367B4C" w:rsidRPr="00A805AA" w:rsidRDefault="00367B4C" w:rsidP="00367B4C">
      <w:pPr>
        <w:spacing w:line="360" w:lineRule="auto"/>
        <w:jc w:val="both"/>
        <w:rPr>
          <w:b/>
          <w:bCs/>
        </w:rPr>
      </w:pPr>
    </w:p>
    <w:p w:rsidR="00367B4C" w:rsidRPr="00A805AA" w:rsidRDefault="00367B4C" w:rsidP="00367B4C">
      <w:pPr>
        <w:spacing w:line="360" w:lineRule="auto"/>
        <w:jc w:val="both"/>
      </w:pPr>
      <w:r w:rsidRPr="00A805AA">
        <w:rPr>
          <w:b/>
          <w:bCs/>
        </w:rPr>
        <w:t xml:space="preserve">Interpretation: </w:t>
      </w:r>
      <w:r w:rsidRPr="00A805AA">
        <w:t>Throughout the 9 quarters, the promoters shareholding has stayed largely constant, averaging between 66 and 67 %. This implies that the corporation is still largely under the hands of the large owners. There has been a noticeable decrease in FII ownership, which went from 21.35 % in September 2021 to 18.37% in September 2023. Over the same time span, DII holdings have risen gradually, from 3.41% to 9.78%. This implies that institutional investors in India are growing increasingly optimistic about Dabur's future. Over the course of the period, government stake has remained extremely small, at about 0.07%. Since September 2021, the public shareholding has trended slightly down, going from 7.87% to 5.54%. It is possible that institutional investors purchased shares from individual individuals.</w:t>
      </w:r>
    </w:p>
    <w:p w:rsidR="00367B4C" w:rsidRPr="00A805AA" w:rsidRDefault="00367B4C" w:rsidP="00367B4C">
      <w:pPr>
        <w:spacing w:line="360" w:lineRule="auto"/>
        <w:contextualSpacing/>
        <w:rPr>
          <w:b/>
          <w:bCs/>
          <w:sz w:val="28"/>
          <w:szCs w:val="28"/>
        </w:rPr>
      </w:pPr>
      <w:r>
        <w:rPr>
          <w:b/>
          <w:bCs/>
          <w:sz w:val="28"/>
          <w:szCs w:val="28"/>
        </w:rPr>
        <w:t>4.4</w:t>
      </w:r>
      <w:r w:rsidRPr="00A805AA">
        <w:rPr>
          <w:b/>
          <w:bCs/>
          <w:sz w:val="28"/>
          <w:szCs w:val="28"/>
        </w:rPr>
        <w:t xml:space="preserve"> Trend Analysis</w:t>
      </w:r>
    </w:p>
    <w:p w:rsidR="00367B4C" w:rsidRDefault="00367B4C" w:rsidP="00367B4C">
      <w:pPr>
        <w:spacing w:after="0" w:line="360" w:lineRule="auto"/>
        <w:rPr>
          <w:rFonts w:eastAsia="Times New Roman"/>
          <w:kern w:val="0"/>
          <w:lang w:eastAsia="en-IN"/>
        </w:rPr>
      </w:pPr>
    </w:p>
    <w:p w:rsidR="00367B4C" w:rsidRDefault="00367B4C" w:rsidP="00367B4C">
      <w:pPr>
        <w:spacing w:after="0" w:line="360" w:lineRule="auto"/>
        <w:rPr>
          <w:rFonts w:eastAsia="Times New Roman"/>
          <w:kern w:val="0"/>
          <w:lang w:eastAsia="en-IN"/>
        </w:rPr>
      </w:pPr>
      <w:r w:rsidRPr="00A805AA">
        <w:rPr>
          <w:rFonts w:eastAsia="Times New Roman"/>
          <w:kern w:val="0"/>
          <w:lang w:eastAsia="en-IN"/>
        </w:rPr>
        <w:t>The technique of looking at data over time to find trends and comprehend how things are changing is called trend analysis. This may entail keeping an eye out for changes, declines, or spikes in a variety of variables, such as sales numbers, consumer inclinations, or meteorological trends. Individuals and organizations can obtain important insights into the future by examining these trends, which will enable them to make well-informed projections and decisions.</w:t>
      </w:r>
    </w:p>
    <w:p w:rsidR="00367B4C" w:rsidRPr="00BF6067" w:rsidRDefault="00367B4C" w:rsidP="00367B4C">
      <w:pPr>
        <w:spacing w:after="0" w:line="360" w:lineRule="auto"/>
        <w:rPr>
          <w:rFonts w:eastAsia="Times New Roman"/>
          <w:kern w:val="0"/>
          <w:lang w:eastAsia="en-IN"/>
        </w:rPr>
      </w:pPr>
    </w:p>
    <w:p w:rsidR="00367B4C" w:rsidRPr="00A805AA" w:rsidRDefault="00367B4C" w:rsidP="00367B4C">
      <w:pPr>
        <w:jc w:val="center"/>
        <w:rPr>
          <w:b/>
          <w:bCs/>
        </w:rPr>
      </w:pPr>
      <w:r w:rsidRPr="00A805AA">
        <w:rPr>
          <w:b/>
          <w:bCs/>
        </w:rPr>
        <w:t>Table 4.26 : Statement showing trend percentages of 5 Companies</w:t>
      </w:r>
    </w:p>
    <w:p w:rsidR="00367B4C" w:rsidRPr="00A805AA" w:rsidRDefault="00367B4C" w:rsidP="00367B4C">
      <w:pPr>
        <w:jc w:val="center"/>
        <w:rPr>
          <w:b/>
          <w:bCs/>
        </w:rPr>
      </w:pPr>
      <w:r w:rsidRPr="00A805AA">
        <w:rPr>
          <w:b/>
          <w:bCs/>
        </w:rPr>
        <w:t xml:space="preserve">Net profit /loss during the period </w:t>
      </w:r>
    </w:p>
    <w:tbl>
      <w:tblPr>
        <w:tblpPr w:leftFromText="180" w:rightFromText="180" w:vertAnchor="text" w:horzAnchor="margin" w:tblpY="48"/>
        <w:tblW w:w="8731" w:type="dxa"/>
        <w:tblLayout w:type="fixed"/>
        <w:tblLook w:val="04A0"/>
      </w:tblPr>
      <w:tblGrid>
        <w:gridCol w:w="975"/>
        <w:gridCol w:w="701"/>
        <w:gridCol w:w="794"/>
        <w:gridCol w:w="734"/>
        <w:gridCol w:w="989"/>
        <w:gridCol w:w="679"/>
        <w:gridCol w:w="947"/>
        <w:gridCol w:w="586"/>
        <w:gridCol w:w="877"/>
        <w:gridCol w:w="613"/>
        <w:gridCol w:w="595"/>
        <w:gridCol w:w="241"/>
      </w:tblGrid>
      <w:tr w:rsidR="00367B4C" w:rsidRPr="00A805AA" w:rsidTr="00367B4C">
        <w:trPr>
          <w:gridAfter w:val="1"/>
          <w:wAfter w:w="241" w:type="dxa"/>
          <w:trHeight w:val="611"/>
        </w:trPr>
        <w:tc>
          <w:tcPr>
            <w:tcW w:w="9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7B4C" w:rsidRPr="00A805AA" w:rsidRDefault="00367B4C" w:rsidP="00367B4C">
            <w:pPr>
              <w:spacing w:after="0" w:line="240" w:lineRule="auto"/>
              <w:ind w:right="-195"/>
              <w:jc w:val="center"/>
              <w:rPr>
                <w:rFonts w:eastAsia="Times New Roman"/>
                <w:color w:val="000000"/>
                <w:kern w:val="0"/>
                <w:lang w:eastAsia="en-IN"/>
              </w:rPr>
            </w:pPr>
          </w:p>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Quarter</w:t>
            </w:r>
          </w:p>
        </w:tc>
        <w:tc>
          <w:tcPr>
            <w:tcW w:w="14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Hindustan Unilever</w:t>
            </w:r>
          </w:p>
        </w:tc>
        <w:tc>
          <w:tcPr>
            <w:tcW w:w="172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ITC</w:t>
            </w:r>
          </w:p>
        </w:tc>
        <w:tc>
          <w:tcPr>
            <w:tcW w:w="162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Colgate-Palmolive</w:t>
            </w:r>
          </w:p>
        </w:tc>
        <w:tc>
          <w:tcPr>
            <w:tcW w:w="146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Britannia</w:t>
            </w:r>
          </w:p>
        </w:tc>
        <w:tc>
          <w:tcPr>
            <w:tcW w:w="120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Dabur</w:t>
            </w:r>
          </w:p>
        </w:tc>
      </w:tr>
      <w:tr w:rsidR="00367B4C" w:rsidRPr="00A805AA" w:rsidTr="00367B4C">
        <w:trPr>
          <w:trHeight w:val="191"/>
        </w:trPr>
        <w:tc>
          <w:tcPr>
            <w:tcW w:w="975" w:type="dxa"/>
            <w:vMerge/>
            <w:tcBorders>
              <w:top w:val="single" w:sz="8" w:space="0" w:color="auto"/>
              <w:left w:val="single" w:sz="8" w:space="0" w:color="auto"/>
              <w:bottom w:val="single" w:sz="8" w:space="0" w:color="000000"/>
              <w:right w:val="single" w:sz="8" w:space="0" w:color="auto"/>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1495" w:type="dxa"/>
            <w:gridSpan w:val="2"/>
            <w:vMerge/>
            <w:tcBorders>
              <w:top w:val="single" w:sz="8" w:space="0" w:color="auto"/>
              <w:left w:val="single" w:sz="8" w:space="0" w:color="auto"/>
              <w:bottom w:val="single" w:sz="8" w:space="0" w:color="000000"/>
              <w:right w:val="single" w:sz="8" w:space="0" w:color="000000"/>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1723" w:type="dxa"/>
            <w:gridSpan w:val="2"/>
            <w:vMerge/>
            <w:tcBorders>
              <w:top w:val="single" w:sz="8" w:space="0" w:color="auto"/>
              <w:left w:val="single" w:sz="8" w:space="0" w:color="auto"/>
              <w:bottom w:val="single" w:sz="8" w:space="0" w:color="000000"/>
              <w:right w:val="single" w:sz="8" w:space="0" w:color="000000"/>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1626" w:type="dxa"/>
            <w:gridSpan w:val="2"/>
            <w:vMerge/>
            <w:tcBorders>
              <w:top w:val="single" w:sz="8" w:space="0" w:color="auto"/>
              <w:left w:val="single" w:sz="8" w:space="0" w:color="auto"/>
              <w:bottom w:val="single" w:sz="8" w:space="0" w:color="000000"/>
              <w:right w:val="single" w:sz="8" w:space="0" w:color="000000"/>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1463" w:type="dxa"/>
            <w:gridSpan w:val="2"/>
            <w:vMerge/>
            <w:tcBorders>
              <w:top w:val="single" w:sz="8" w:space="0" w:color="auto"/>
              <w:left w:val="single" w:sz="8" w:space="0" w:color="auto"/>
              <w:bottom w:val="single" w:sz="8" w:space="0" w:color="000000"/>
              <w:right w:val="single" w:sz="8" w:space="0" w:color="000000"/>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1208" w:type="dxa"/>
            <w:gridSpan w:val="2"/>
            <w:vMerge/>
            <w:tcBorders>
              <w:top w:val="single" w:sz="8" w:space="0" w:color="auto"/>
              <w:left w:val="single" w:sz="8" w:space="0" w:color="auto"/>
              <w:bottom w:val="single" w:sz="8" w:space="0" w:color="000000"/>
              <w:right w:val="single" w:sz="8" w:space="0" w:color="000000"/>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241" w:type="dxa"/>
            <w:tcBorders>
              <w:top w:val="nil"/>
              <w:left w:val="nil"/>
              <w:bottom w:val="nil"/>
              <w:right w:val="nil"/>
            </w:tcBorders>
            <w:shd w:val="clear" w:color="auto" w:fill="auto"/>
            <w:noWrap/>
            <w:vAlign w:val="bottom"/>
            <w:hideMark/>
          </w:tcPr>
          <w:p w:rsidR="00367B4C" w:rsidRPr="00A805AA" w:rsidRDefault="00367B4C" w:rsidP="00367B4C">
            <w:pPr>
              <w:spacing w:after="0" w:line="240" w:lineRule="auto"/>
              <w:jc w:val="center"/>
              <w:rPr>
                <w:rFonts w:eastAsia="Times New Roman"/>
                <w:color w:val="000000"/>
                <w:kern w:val="0"/>
                <w:lang w:eastAsia="en-IN"/>
              </w:rPr>
            </w:pPr>
          </w:p>
        </w:tc>
      </w:tr>
      <w:tr w:rsidR="00367B4C" w:rsidRPr="00A805AA" w:rsidTr="00367B4C">
        <w:trPr>
          <w:trHeight w:val="416"/>
        </w:trPr>
        <w:tc>
          <w:tcPr>
            <w:tcW w:w="975" w:type="dxa"/>
            <w:vMerge/>
            <w:tcBorders>
              <w:top w:val="single" w:sz="8" w:space="0" w:color="auto"/>
              <w:left w:val="single" w:sz="8" w:space="0" w:color="auto"/>
              <w:bottom w:val="single" w:sz="8" w:space="0" w:color="000000"/>
              <w:right w:val="single" w:sz="8" w:space="0" w:color="auto"/>
            </w:tcBorders>
            <w:vAlign w:val="center"/>
            <w:hideMark/>
          </w:tcPr>
          <w:p w:rsidR="00367B4C" w:rsidRPr="00A805AA" w:rsidRDefault="00367B4C" w:rsidP="00367B4C">
            <w:pPr>
              <w:spacing w:after="0" w:line="240" w:lineRule="auto"/>
              <w:rPr>
                <w:rFonts w:eastAsia="Times New Roman"/>
                <w:color w:val="000000"/>
                <w:kern w:val="0"/>
                <w:lang w:eastAsia="en-IN"/>
              </w:rPr>
            </w:pP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Rs</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Rs</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Rs</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Rs</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Rs</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644"/>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Sep-21</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2185</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100</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3766</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100</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269</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100</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382</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100</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505</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100</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85"/>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Dec-21</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center"/>
              <w:rPr>
                <w:rFonts w:eastAsia="Times New Roman"/>
                <w:color w:val="000000"/>
                <w:kern w:val="0"/>
                <w:lang w:eastAsia="en-IN"/>
              </w:rPr>
            </w:pPr>
            <w:r w:rsidRPr="00A805AA">
              <w:rPr>
                <w:rFonts w:eastAsia="Times New Roman"/>
                <w:color w:val="000000"/>
                <w:kern w:val="0"/>
                <w:lang w:eastAsia="en-IN"/>
              </w:rPr>
              <w:t>2300</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105.</w:t>
            </w:r>
            <w:r>
              <w:rPr>
                <w:rFonts w:eastAsia="Times New Roman"/>
                <w:color w:val="000000"/>
                <w:kern w:val="0"/>
                <w:lang w:eastAsia="en-IN"/>
              </w:rPr>
              <w:t>3</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4127</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109.58</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252</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93.68</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369</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96.6</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504</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Pr>
                <w:rFonts w:eastAsia="Times New Roman"/>
                <w:color w:val="000000"/>
                <w:kern w:val="0"/>
                <w:lang w:eastAsia="en-IN"/>
              </w:rPr>
              <w:t>100</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51"/>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Mar-22</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2307</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105.</w:t>
            </w:r>
            <w:r>
              <w:rPr>
                <w:rFonts w:eastAsia="Times New Roman"/>
                <w:color w:val="000000"/>
                <w:kern w:val="0"/>
                <w:lang w:eastAsia="en-IN"/>
              </w:rPr>
              <w:t>6</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4266</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113.27</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324</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120.44</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378</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98.9</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294</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58</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45"/>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Jun-22</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2391</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109.4</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4472</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118.74</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210</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78.06</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336</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87.9</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441</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87</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38"/>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Sep-22</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2670</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122.</w:t>
            </w:r>
            <w:r>
              <w:rPr>
                <w:rFonts w:eastAsia="Times New Roman"/>
                <w:color w:val="000000"/>
                <w:kern w:val="0"/>
                <w:lang w:eastAsia="en-IN"/>
              </w:rPr>
              <w:t>2</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4682</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124.32</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278</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103.34</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491</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128.5</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491</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97</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58"/>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Dec-22</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2481</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113.5</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5080</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134.89</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243</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90.33</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932</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243.9</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477</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w:t>
            </w:r>
            <w:r>
              <w:rPr>
                <w:rFonts w:eastAsia="Times New Roman"/>
                <w:color w:val="000000"/>
                <w:kern w:val="0"/>
                <w:lang w:eastAsia="en-IN"/>
              </w:rPr>
              <w:t>5</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50"/>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Mar-23</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2601</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119.0</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5243</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139.21</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316</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117.47</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558</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146.0</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293</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58</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41"/>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Jun-23</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2556</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116.9</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5190</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137.81</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274</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101.86</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455</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119.1</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457</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9</w:t>
            </w:r>
            <w:r>
              <w:rPr>
                <w:rFonts w:eastAsia="Times New Roman"/>
                <w:color w:val="000000"/>
                <w:kern w:val="0"/>
                <w:lang w:eastAsia="en-IN"/>
              </w:rPr>
              <w:t>1</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r w:rsidR="00367B4C" w:rsidRPr="00A805AA" w:rsidTr="00367B4C">
        <w:trPr>
          <w:trHeight w:val="543"/>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Sep-23</w:t>
            </w:r>
          </w:p>
        </w:tc>
        <w:tc>
          <w:tcPr>
            <w:tcW w:w="701"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2657</w:t>
            </w:r>
          </w:p>
        </w:tc>
        <w:tc>
          <w:tcPr>
            <w:tcW w:w="79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121.6</w:t>
            </w:r>
          </w:p>
        </w:tc>
        <w:tc>
          <w:tcPr>
            <w:tcW w:w="734"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4865</w:t>
            </w:r>
          </w:p>
        </w:tc>
        <w:tc>
          <w:tcPr>
            <w:tcW w:w="98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129.18</w:t>
            </w:r>
          </w:p>
        </w:tc>
        <w:tc>
          <w:tcPr>
            <w:tcW w:w="679"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340</w:t>
            </w:r>
          </w:p>
        </w:tc>
        <w:tc>
          <w:tcPr>
            <w:tcW w:w="94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126.39</w:t>
            </w:r>
          </w:p>
        </w:tc>
        <w:tc>
          <w:tcPr>
            <w:tcW w:w="58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586</w:t>
            </w:r>
          </w:p>
        </w:tc>
        <w:tc>
          <w:tcPr>
            <w:tcW w:w="876"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153.4</w:t>
            </w:r>
          </w:p>
        </w:tc>
        <w:tc>
          <w:tcPr>
            <w:tcW w:w="613"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507</w:t>
            </w:r>
          </w:p>
        </w:tc>
        <w:tc>
          <w:tcPr>
            <w:tcW w:w="595" w:type="dxa"/>
            <w:tcBorders>
              <w:top w:val="nil"/>
              <w:left w:val="nil"/>
              <w:bottom w:val="single" w:sz="8" w:space="0" w:color="auto"/>
              <w:right w:val="single" w:sz="8" w:space="0" w:color="auto"/>
            </w:tcBorders>
            <w:shd w:val="clear" w:color="auto" w:fill="auto"/>
            <w:vAlign w:val="center"/>
            <w:hideMark/>
          </w:tcPr>
          <w:p w:rsidR="00367B4C" w:rsidRPr="00A805AA" w:rsidRDefault="00367B4C" w:rsidP="00367B4C">
            <w:pPr>
              <w:spacing w:after="0" w:line="240" w:lineRule="auto"/>
              <w:jc w:val="right"/>
              <w:rPr>
                <w:rFonts w:eastAsia="Times New Roman"/>
                <w:color w:val="000000"/>
                <w:kern w:val="0"/>
                <w:lang w:eastAsia="en-IN"/>
              </w:rPr>
            </w:pPr>
            <w:r w:rsidRPr="00A805AA">
              <w:rPr>
                <w:rFonts w:eastAsia="Times New Roman"/>
                <w:color w:val="000000"/>
                <w:kern w:val="0"/>
                <w:lang w:eastAsia="en-IN"/>
              </w:rPr>
              <w:t>100</w:t>
            </w:r>
          </w:p>
        </w:tc>
        <w:tc>
          <w:tcPr>
            <w:tcW w:w="241" w:type="dxa"/>
            <w:vAlign w:val="center"/>
            <w:hideMark/>
          </w:tcPr>
          <w:p w:rsidR="00367B4C" w:rsidRPr="00A805AA" w:rsidRDefault="00367B4C" w:rsidP="00367B4C">
            <w:pPr>
              <w:spacing w:after="0" w:line="240" w:lineRule="auto"/>
              <w:rPr>
                <w:rFonts w:eastAsia="Times New Roman"/>
                <w:kern w:val="0"/>
                <w:sz w:val="20"/>
                <w:szCs w:val="20"/>
                <w:lang w:eastAsia="en-IN"/>
              </w:rPr>
            </w:pPr>
          </w:p>
        </w:tc>
      </w:tr>
    </w:tbl>
    <w:p w:rsidR="00367B4C" w:rsidRDefault="00367B4C" w:rsidP="00367B4C"/>
    <w:p w:rsidR="00367B4C" w:rsidRDefault="00367B4C" w:rsidP="00367B4C"/>
    <w:p w:rsidR="00367B4C" w:rsidRDefault="00367B4C" w:rsidP="00367B4C"/>
    <w:p w:rsidR="00367B4C" w:rsidRDefault="00367B4C" w:rsidP="00367B4C"/>
    <w:p w:rsidR="00367B4C" w:rsidRDefault="00367B4C" w:rsidP="00367B4C"/>
    <w:p w:rsidR="00367B4C" w:rsidRDefault="00367B4C" w:rsidP="00367B4C"/>
    <w:p w:rsidR="00367B4C" w:rsidRDefault="00367B4C" w:rsidP="00367B4C"/>
    <w:p w:rsidR="00367B4C" w:rsidRPr="00A805AA" w:rsidRDefault="00367B4C" w:rsidP="00367B4C"/>
    <w:p w:rsidR="00367B4C" w:rsidRPr="00A805AA" w:rsidRDefault="00367B4C" w:rsidP="00367B4C">
      <w:pPr>
        <w:jc w:val="center"/>
        <w:rPr>
          <w:b/>
          <w:bCs/>
        </w:rPr>
      </w:pPr>
      <w:r w:rsidRPr="00A805AA">
        <w:rPr>
          <w:noProof/>
          <w:lang w:val="en-US" w:bidi="ml-IN"/>
        </w:rPr>
        <w:drawing>
          <wp:anchor distT="0" distB="0" distL="114300" distR="114300" simplePos="0" relativeHeight="251679744" behindDoc="0" locked="0" layoutInCell="1" allowOverlap="1">
            <wp:simplePos x="0" y="0"/>
            <wp:positionH relativeFrom="column">
              <wp:posOffset>160020</wp:posOffset>
            </wp:positionH>
            <wp:positionV relativeFrom="paragraph">
              <wp:posOffset>215900</wp:posOffset>
            </wp:positionV>
            <wp:extent cx="5106670" cy="2674620"/>
            <wp:effectExtent l="0" t="0" r="17780" b="11430"/>
            <wp:wrapNone/>
            <wp:docPr id="54424363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8EA9B5-FB5A-107C-27C1-7EE589649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A805AA">
        <w:rPr>
          <w:b/>
          <w:bCs/>
        </w:rPr>
        <w:t>Fig 4.21: Figure showing trend percentages of 5 companies</w:t>
      </w:r>
    </w:p>
    <w:p w:rsidR="00367B4C" w:rsidRPr="00A805AA" w:rsidRDefault="00367B4C" w:rsidP="00367B4C"/>
    <w:p w:rsidR="00367B4C" w:rsidRPr="00A805AA" w:rsidRDefault="00367B4C" w:rsidP="00367B4C"/>
    <w:p w:rsidR="00367B4C" w:rsidRPr="00A805AA" w:rsidRDefault="00367B4C" w:rsidP="00367B4C"/>
    <w:p w:rsidR="00367B4C" w:rsidRPr="00A805AA" w:rsidRDefault="00367B4C" w:rsidP="00367B4C"/>
    <w:p w:rsidR="00367B4C" w:rsidRPr="00A805AA" w:rsidRDefault="00367B4C" w:rsidP="00367B4C"/>
    <w:p w:rsidR="00367B4C" w:rsidRPr="00A805AA" w:rsidRDefault="00367B4C" w:rsidP="00367B4C"/>
    <w:p w:rsidR="00367B4C" w:rsidRPr="00A805AA" w:rsidRDefault="00367B4C" w:rsidP="00367B4C"/>
    <w:p w:rsidR="00367B4C" w:rsidRPr="00A805AA" w:rsidRDefault="00367B4C" w:rsidP="00367B4C"/>
    <w:p w:rsidR="00367B4C" w:rsidRDefault="00367B4C" w:rsidP="00367B4C"/>
    <w:p w:rsidR="00367B4C" w:rsidRPr="00A805AA" w:rsidRDefault="00367B4C" w:rsidP="00367B4C"/>
    <w:p w:rsidR="00367B4C" w:rsidRPr="00A805AA" w:rsidRDefault="00367B4C" w:rsidP="00367B4C">
      <w:pPr>
        <w:spacing w:line="360" w:lineRule="auto"/>
        <w:jc w:val="both"/>
        <w:rPr>
          <w:rFonts w:eastAsia="Times New Roman"/>
          <w:kern w:val="0"/>
          <w:lang w:eastAsia="en-IN"/>
        </w:rPr>
      </w:pPr>
      <w:r w:rsidRPr="00A805AA">
        <w:rPr>
          <w:b/>
          <w:bCs/>
        </w:rPr>
        <w:t>Interpretation:</w:t>
      </w:r>
      <w:r w:rsidRPr="00A805AA">
        <w:rPr>
          <w:color w:val="0D0D0D"/>
          <w:shd w:val="clear" w:color="auto" w:fill="FFFFFF"/>
        </w:rPr>
        <w:t>The table provides quarterly net profit figures for five companies - Hindustan Unilever, ITC, Colgate-Palmolive, Britannia, and Dabur - from September 2021 to September 2023. The figures are presented both in absolute terms and as trend percentages, indicating the change in net profit. There is a clear upward trend in profits, with each company experiencing growth over the observed period. Hindustan Unilever and ITC show overall upward trends, with increase in net profit percentages over the time Colgate-Palmolive displays a fluctuating trend, with peaks and dips in net profit percentages. Britannia exhibits a steadily increasing trend while Dabur's trend appears less stable, with varying percentages across the quarters.</w:t>
      </w:r>
      <w:r w:rsidRPr="00A805AA">
        <w:rPr>
          <w:rFonts w:eastAsia="Times New Roman"/>
          <w:kern w:val="0"/>
          <w:lang w:eastAsia="en-IN"/>
        </w:rPr>
        <w:t xml:space="preserve"> The trends indicate that the net profit percentages of the companies vary over the quarter due to factors such as market conditions, operational efficiency, and product innovation, which have an impact on their respective performances and strategies.</w:t>
      </w:r>
    </w:p>
    <w:p w:rsidR="00367B4C" w:rsidRPr="00A805AA" w:rsidRDefault="00367B4C" w:rsidP="00367B4C">
      <w:pPr>
        <w:spacing w:line="360" w:lineRule="auto"/>
        <w:rPr>
          <w:rFonts w:eastAsia="Times New Roman"/>
          <w:kern w:val="0"/>
          <w:lang w:eastAsia="en-IN"/>
        </w:rPr>
      </w:pPr>
    </w:p>
    <w:p w:rsidR="00367B4C" w:rsidRPr="00A805AA" w:rsidRDefault="00367B4C" w:rsidP="00367B4C">
      <w:pPr>
        <w:spacing w:line="360" w:lineRule="auto"/>
        <w:rPr>
          <w:rFonts w:eastAsia="Times New Roman"/>
          <w:b/>
          <w:bCs/>
          <w:kern w:val="0"/>
          <w:sz w:val="28"/>
          <w:szCs w:val="28"/>
          <w:lang w:eastAsia="en-IN"/>
        </w:rPr>
      </w:pPr>
      <w:bookmarkStart w:id="24" w:name="_Hlk161163035"/>
      <w:r w:rsidRPr="00A805AA">
        <w:rPr>
          <w:rFonts w:eastAsia="Times New Roman"/>
          <w:b/>
          <w:bCs/>
          <w:kern w:val="0"/>
          <w:sz w:val="28"/>
          <w:szCs w:val="28"/>
          <w:lang w:eastAsia="en-IN"/>
        </w:rPr>
        <w:t xml:space="preserve">HYPOTHESIS TESTING </w:t>
      </w:r>
    </w:p>
    <w:p w:rsidR="00367B4C" w:rsidRPr="00A805AA" w:rsidRDefault="00367B4C" w:rsidP="00367B4C">
      <w:pPr>
        <w:spacing w:line="360" w:lineRule="auto"/>
        <w:jc w:val="both"/>
        <w:rPr>
          <w:lang w:val="en-US"/>
        </w:rPr>
      </w:pPr>
      <w:r w:rsidRPr="00A805AA">
        <w:rPr>
          <w:b/>
          <w:bCs/>
          <w:lang w:val="en-US"/>
        </w:rPr>
        <w:t>Null Hypothesis (H0)</w:t>
      </w:r>
      <w:r w:rsidRPr="00A805AA">
        <w:rPr>
          <w:lang w:val="en-US"/>
        </w:rPr>
        <w:t>: There is no significant correlation between the quarterly financial results (net profit) of selected FMCG companies and their respective share price movements.</w:t>
      </w:r>
    </w:p>
    <w:p w:rsidR="00367B4C" w:rsidRPr="00A805AA" w:rsidRDefault="00367B4C" w:rsidP="00367B4C">
      <w:pPr>
        <w:spacing w:line="360" w:lineRule="auto"/>
        <w:jc w:val="both"/>
        <w:rPr>
          <w:lang w:val="en-US"/>
        </w:rPr>
      </w:pPr>
      <w:r w:rsidRPr="00A805AA">
        <w:rPr>
          <w:b/>
          <w:bCs/>
          <w:lang w:val="en-US"/>
        </w:rPr>
        <w:t>Alternative Hypothesis (H1)</w:t>
      </w:r>
      <w:r w:rsidRPr="00A805AA">
        <w:rPr>
          <w:lang w:val="en-US"/>
        </w:rPr>
        <w:t>: There is a significant correlation between the quarterly financial results of selected FMCG companies and their share price movements.</w:t>
      </w:r>
    </w:p>
    <w:p w:rsidR="00367B4C" w:rsidRPr="00A805AA" w:rsidRDefault="00367B4C" w:rsidP="00367B4C">
      <w:pPr>
        <w:spacing w:line="360" w:lineRule="auto"/>
        <w:jc w:val="both"/>
        <w:rPr>
          <w:lang w:val="en-US"/>
        </w:rPr>
      </w:pPr>
    </w:p>
    <w:p w:rsidR="00367B4C" w:rsidRDefault="00367B4C" w:rsidP="00367B4C">
      <w:pPr>
        <w:numPr>
          <w:ilvl w:val="0"/>
          <w:numId w:val="35"/>
        </w:numPr>
        <w:spacing w:line="360" w:lineRule="auto"/>
        <w:contextualSpacing/>
        <w:rPr>
          <w:b/>
          <w:bCs/>
          <w:sz w:val="28"/>
          <w:szCs w:val="28"/>
        </w:rPr>
      </w:pPr>
      <w:r w:rsidRPr="00A805AA">
        <w:rPr>
          <w:b/>
          <w:bCs/>
          <w:sz w:val="28"/>
          <w:szCs w:val="28"/>
        </w:rPr>
        <w:t xml:space="preserve">Hindustan Unilever </w:t>
      </w:r>
    </w:p>
    <w:p w:rsidR="00367B4C" w:rsidRPr="00A805AA" w:rsidRDefault="00367B4C" w:rsidP="00367B4C">
      <w:pPr>
        <w:spacing w:line="360" w:lineRule="auto"/>
        <w:ind w:left="502"/>
        <w:contextualSpacing/>
        <w:rPr>
          <w:b/>
          <w:bCs/>
          <w:sz w:val="28"/>
          <w:szCs w:val="28"/>
        </w:rPr>
      </w:pPr>
    </w:p>
    <w:p w:rsidR="00367B4C" w:rsidRPr="00A805AA" w:rsidRDefault="00367B4C" w:rsidP="00367B4C">
      <w:pPr>
        <w:spacing w:line="360" w:lineRule="auto"/>
        <w:ind w:left="720"/>
        <w:contextualSpacing/>
        <w:rPr>
          <w:b/>
          <w:bCs/>
        </w:rPr>
      </w:pPr>
      <w:r w:rsidRPr="00A805AA">
        <w:rPr>
          <w:b/>
          <w:bCs/>
        </w:rPr>
        <w:t>Table 4.27: Hypothesis Testing: Hindustan Unilever</w:t>
      </w:r>
    </w:p>
    <w:tbl>
      <w:tblPr>
        <w:tblW w:w="7719" w:type="dxa"/>
        <w:tblInd w:w="661" w:type="dxa"/>
        <w:tblLook w:val="04A0"/>
      </w:tblPr>
      <w:tblGrid>
        <w:gridCol w:w="1955"/>
        <w:gridCol w:w="1368"/>
        <w:gridCol w:w="1526"/>
        <w:gridCol w:w="1368"/>
        <w:gridCol w:w="1502"/>
      </w:tblGrid>
      <w:tr w:rsidR="00367B4C" w:rsidRPr="00A805AA" w:rsidTr="00367B4C">
        <w:trPr>
          <w:trHeight w:val="430"/>
        </w:trPr>
        <w:tc>
          <w:tcPr>
            <w:tcW w:w="195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correlation®</w:t>
            </w:r>
          </w:p>
        </w:tc>
        <w:tc>
          <w:tcPr>
            <w:tcW w:w="1368"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N</w:t>
            </w:r>
          </w:p>
        </w:tc>
        <w:tc>
          <w:tcPr>
            <w:tcW w:w="1526"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T Statistics</w:t>
            </w:r>
          </w:p>
        </w:tc>
        <w:tc>
          <w:tcPr>
            <w:tcW w:w="1368"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DF</w:t>
            </w:r>
          </w:p>
        </w:tc>
        <w:tc>
          <w:tcPr>
            <w:tcW w:w="1502"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P value</w:t>
            </w:r>
          </w:p>
        </w:tc>
      </w:tr>
      <w:tr w:rsidR="00367B4C" w:rsidRPr="00A805AA" w:rsidTr="00367B4C">
        <w:trPr>
          <w:trHeight w:val="430"/>
        </w:trPr>
        <w:tc>
          <w:tcPr>
            <w:tcW w:w="1955" w:type="dxa"/>
            <w:tcBorders>
              <w:top w:val="nil"/>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0.367815</w:t>
            </w:r>
          </w:p>
        </w:tc>
        <w:tc>
          <w:tcPr>
            <w:tcW w:w="1368"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9</w:t>
            </w:r>
          </w:p>
        </w:tc>
        <w:tc>
          <w:tcPr>
            <w:tcW w:w="1526"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1.046508</w:t>
            </w:r>
          </w:p>
        </w:tc>
        <w:tc>
          <w:tcPr>
            <w:tcW w:w="1368"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7</w:t>
            </w:r>
          </w:p>
        </w:tc>
        <w:tc>
          <w:tcPr>
            <w:tcW w:w="1502"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0.330111</w:t>
            </w:r>
          </w:p>
        </w:tc>
      </w:tr>
    </w:tbl>
    <w:p w:rsidR="00367B4C" w:rsidRPr="00A805AA" w:rsidRDefault="00367B4C" w:rsidP="00367B4C">
      <w:pPr>
        <w:spacing w:line="360" w:lineRule="auto"/>
      </w:pPr>
    </w:p>
    <w:p w:rsidR="00367B4C" w:rsidRPr="00A805AA" w:rsidRDefault="00367B4C" w:rsidP="00367B4C">
      <w:pPr>
        <w:spacing w:line="360" w:lineRule="auto"/>
        <w:jc w:val="both"/>
      </w:pPr>
      <w:r w:rsidRPr="00A805AA">
        <w:rPr>
          <w:b/>
          <w:bCs/>
        </w:rPr>
        <w:lastRenderedPageBreak/>
        <w:t>Interpretation:</w:t>
      </w:r>
      <w:r w:rsidRPr="00A805AA">
        <w:t xml:space="preserve"> The correlation coefficient (r) of 0.368 indicates a weak positive linear relationship.The sample size (N) of 9 indicates the number of data points. The t-statistic of 1.047 and degrees of freedom (DF) of 7 are used to test the significance of the correlation coefficient. In this case, the t statistic suggests that the correlation is not statistically significant. With a p-value greater than 0.05 (significance level), we accept the null hypothesis and conclude that there is no significant correlation between the quarterly results and share prices for Hindustan Unilever.</w:t>
      </w:r>
    </w:p>
    <w:p w:rsidR="00367B4C" w:rsidRPr="00A805AA" w:rsidRDefault="00367B4C" w:rsidP="00367B4C">
      <w:pPr>
        <w:numPr>
          <w:ilvl w:val="0"/>
          <w:numId w:val="35"/>
        </w:numPr>
        <w:spacing w:line="360" w:lineRule="auto"/>
        <w:contextualSpacing/>
        <w:rPr>
          <w:b/>
          <w:bCs/>
          <w:sz w:val="28"/>
          <w:szCs w:val="28"/>
        </w:rPr>
      </w:pPr>
      <w:r w:rsidRPr="00A805AA">
        <w:rPr>
          <w:b/>
          <w:bCs/>
          <w:sz w:val="28"/>
          <w:szCs w:val="28"/>
        </w:rPr>
        <w:t>Indian Tobacco Company</w:t>
      </w:r>
    </w:p>
    <w:p w:rsidR="00367B4C" w:rsidRPr="00A805AA" w:rsidRDefault="00367B4C" w:rsidP="00367B4C">
      <w:pPr>
        <w:spacing w:line="360" w:lineRule="auto"/>
        <w:ind w:left="502"/>
        <w:contextualSpacing/>
      </w:pPr>
    </w:p>
    <w:p w:rsidR="00367B4C" w:rsidRPr="00A805AA" w:rsidRDefault="00367B4C" w:rsidP="00367B4C">
      <w:pPr>
        <w:spacing w:line="360" w:lineRule="auto"/>
        <w:ind w:left="502"/>
        <w:contextualSpacing/>
        <w:rPr>
          <w:b/>
          <w:bCs/>
        </w:rPr>
      </w:pPr>
      <w:r w:rsidRPr="00A805AA">
        <w:rPr>
          <w:b/>
          <w:bCs/>
        </w:rPr>
        <w:t>Table 4.28: Hypothesis Testing: Indian Tobacco Company</w:t>
      </w:r>
    </w:p>
    <w:tbl>
      <w:tblPr>
        <w:tblW w:w="7221" w:type="dxa"/>
        <w:tblInd w:w="418" w:type="dxa"/>
        <w:tblLook w:val="04A0"/>
      </w:tblPr>
      <w:tblGrid>
        <w:gridCol w:w="1775"/>
        <w:gridCol w:w="1299"/>
        <w:gridCol w:w="1424"/>
        <w:gridCol w:w="1299"/>
        <w:gridCol w:w="1424"/>
      </w:tblGrid>
      <w:tr w:rsidR="00367B4C" w:rsidRPr="00A805AA" w:rsidTr="00367B4C">
        <w:trPr>
          <w:trHeight w:val="467"/>
        </w:trPr>
        <w:tc>
          <w:tcPr>
            <w:tcW w:w="17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correlation®</w:t>
            </w:r>
          </w:p>
        </w:tc>
        <w:tc>
          <w:tcPr>
            <w:tcW w:w="1299"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N</w:t>
            </w:r>
          </w:p>
        </w:tc>
        <w:tc>
          <w:tcPr>
            <w:tcW w:w="1424"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T statistics</w:t>
            </w:r>
          </w:p>
        </w:tc>
        <w:tc>
          <w:tcPr>
            <w:tcW w:w="1299"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DF</w:t>
            </w:r>
          </w:p>
        </w:tc>
        <w:tc>
          <w:tcPr>
            <w:tcW w:w="1424"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P value</w:t>
            </w:r>
          </w:p>
        </w:tc>
      </w:tr>
      <w:tr w:rsidR="00367B4C" w:rsidRPr="00A805AA" w:rsidTr="00367B4C">
        <w:trPr>
          <w:trHeight w:val="467"/>
        </w:trPr>
        <w:tc>
          <w:tcPr>
            <w:tcW w:w="1775" w:type="dxa"/>
            <w:tcBorders>
              <w:top w:val="nil"/>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0.86899</w:t>
            </w:r>
          </w:p>
        </w:tc>
        <w:tc>
          <w:tcPr>
            <w:tcW w:w="1299"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9</w:t>
            </w:r>
          </w:p>
        </w:tc>
        <w:tc>
          <w:tcPr>
            <w:tcW w:w="1424"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4.646317</w:t>
            </w:r>
          </w:p>
        </w:tc>
        <w:tc>
          <w:tcPr>
            <w:tcW w:w="1299"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7</w:t>
            </w:r>
          </w:p>
        </w:tc>
        <w:tc>
          <w:tcPr>
            <w:tcW w:w="1424"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0.002352</w:t>
            </w:r>
          </w:p>
        </w:tc>
      </w:tr>
    </w:tbl>
    <w:p w:rsidR="00367B4C" w:rsidRPr="00A805AA" w:rsidRDefault="00367B4C" w:rsidP="00367B4C">
      <w:pPr>
        <w:spacing w:line="360" w:lineRule="auto"/>
      </w:pPr>
    </w:p>
    <w:p w:rsidR="00367B4C" w:rsidRPr="00A805AA" w:rsidRDefault="00367B4C" w:rsidP="00367B4C">
      <w:pPr>
        <w:spacing w:line="360" w:lineRule="auto"/>
        <w:jc w:val="both"/>
      </w:pPr>
      <w:r w:rsidRPr="00A805AA">
        <w:rPr>
          <w:b/>
          <w:bCs/>
        </w:rPr>
        <w:t>Interpretation:</w:t>
      </w:r>
      <w:r w:rsidRPr="00A805AA">
        <w:t xml:space="preserve"> The correlation coefficient (r) of 0.869 indicates a strong positive correlation .The sample size (N) of 9 indicates the number of data points. The t-statistic of 4.646 and degrees of freedom (DF) of 7 are used to test the significance of the correlation coefficient. In this case, the t statistic suggests that the correlation is statistically significant. With a p-value(level of significance) less than 0.05, we reject the null hypothesis and conclude that there is a significant correlation between the share price and quarterly results for ITC.</w:t>
      </w:r>
    </w:p>
    <w:p w:rsidR="00367B4C" w:rsidRPr="00A805AA" w:rsidRDefault="00367B4C" w:rsidP="00367B4C">
      <w:pPr>
        <w:spacing w:line="360" w:lineRule="auto"/>
        <w:jc w:val="both"/>
      </w:pPr>
    </w:p>
    <w:p w:rsidR="00367B4C" w:rsidRPr="00A805AA" w:rsidRDefault="00367B4C" w:rsidP="00367B4C">
      <w:pPr>
        <w:spacing w:line="360" w:lineRule="auto"/>
        <w:rPr>
          <w:b/>
          <w:bCs/>
        </w:rPr>
      </w:pPr>
      <w:r w:rsidRPr="00A805AA">
        <w:rPr>
          <w:b/>
          <w:bCs/>
          <w:sz w:val="28"/>
          <w:szCs w:val="28"/>
        </w:rPr>
        <w:t>(c)Colgate-Palmolive</w:t>
      </w:r>
    </w:p>
    <w:p w:rsidR="00367B4C" w:rsidRPr="00A805AA" w:rsidRDefault="00367B4C" w:rsidP="00367B4C">
      <w:pPr>
        <w:spacing w:line="360" w:lineRule="auto"/>
        <w:ind w:left="502"/>
        <w:contextualSpacing/>
        <w:jc w:val="center"/>
        <w:rPr>
          <w:b/>
          <w:bCs/>
        </w:rPr>
      </w:pPr>
      <w:r w:rsidRPr="00A805AA">
        <w:rPr>
          <w:b/>
          <w:bCs/>
        </w:rPr>
        <w:t>Table 4.29: Hypothesis Testing: Colgate-Palmolive</w:t>
      </w:r>
    </w:p>
    <w:tbl>
      <w:tblPr>
        <w:tblW w:w="7702" w:type="dxa"/>
        <w:tblInd w:w="487" w:type="dxa"/>
        <w:tblLook w:val="04A0"/>
      </w:tblPr>
      <w:tblGrid>
        <w:gridCol w:w="1950"/>
        <w:gridCol w:w="1366"/>
        <w:gridCol w:w="1523"/>
        <w:gridCol w:w="1366"/>
        <w:gridCol w:w="1497"/>
      </w:tblGrid>
      <w:tr w:rsidR="00367B4C" w:rsidRPr="00A805AA" w:rsidTr="00367B4C">
        <w:trPr>
          <w:trHeight w:val="433"/>
        </w:trPr>
        <w:tc>
          <w:tcPr>
            <w:tcW w:w="195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correlation®</w:t>
            </w:r>
          </w:p>
        </w:tc>
        <w:tc>
          <w:tcPr>
            <w:tcW w:w="1366"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N</w:t>
            </w:r>
          </w:p>
        </w:tc>
        <w:tc>
          <w:tcPr>
            <w:tcW w:w="1523"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T Statistics</w:t>
            </w:r>
          </w:p>
        </w:tc>
        <w:tc>
          <w:tcPr>
            <w:tcW w:w="1366"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DF</w:t>
            </w:r>
          </w:p>
        </w:tc>
        <w:tc>
          <w:tcPr>
            <w:tcW w:w="1497"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P value</w:t>
            </w:r>
          </w:p>
        </w:tc>
      </w:tr>
      <w:tr w:rsidR="00367B4C" w:rsidRPr="00A805AA" w:rsidTr="00367B4C">
        <w:trPr>
          <w:trHeight w:val="433"/>
        </w:trPr>
        <w:tc>
          <w:tcPr>
            <w:tcW w:w="1950" w:type="dxa"/>
            <w:tcBorders>
              <w:top w:val="nil"/>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0.554302</w:t>
            </w:r>
          </w:p>
        </w:tc>
        <w:tc>
          <w:tcPr>
            <w:tcW w:w="1366"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9</w:t>
            </w:r>
          </w:p>
        </w:tc>
        <w:tc>
          <w:tcPr>
            <w:tcW w:w="1523"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1.762008</w:t>
            </w:r>
          </w:p>
        </w:tc>
        <w:tc>
          <w:tcPr>
            <w:tcW w:w="1366"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7</w:t>
            </w:r>
          </w:p>
        </w:tc>
        <w:tc>
          <w:tcPr>
            <w:tcW w:w="1497"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0.121446</w:t>
            </w:r>
          </w:p>
        </w:tc>
      </w:tr>
    </w:tbl>
    <w:p w:rsidR="00367B4C" w:rsidRPr="00A805AA" w:rsidRDefault="00367B4C" w:rsidP="00367B4C">
      <w:pPr>
        <w:spacing w:line="360" w:lineRule="auto"/>
        <w:jc w:val="both"/>
      </w:pPr>
      <w:r w:rsidRPr="00A805AA">
        <w:rPr>
          <w:b/>
          <w:bCs/>
        </w:rPr>
        <w:t>Interpretation:</w:t>
      </w:r>
      <w:r w:rsidRPr="00A805AA">
        <w:t xml:space="preserve"> The correlation coefficient is 0.554, indicating a moderate positive correlation between the variables .The number of observations or data points in the sample is 9.With a T statistic of 1.762 and a degrees of freedom of 7, the calculated p-value of 0.121 indicates that the correlation is not statistically significant . As the p-value is 0.121, which is greater than 0.05. This suggests that we accept the  null </w:t>
      </w:r>
      <w:r w:rsidRPr="00A805AA">
        <w:lastRenderedPageBreak/>
        <w:t>hypothesis that there is no significant correlation between share price and quarterly results of colgate-palmolive.</w:t>
      </w:r>
    </w:p>
    <w:p w:rsidR="00367B4C" w:rsidRPr="00A805AA" w:rsidRDefault="00367B4C" w:rsidP="00367B4C">
      <w:pPr>
        <w:spacing w:line="360" w:lineRule="auto"/>
      </w:pPr>
    </w:p>
    <w:p w:rsidR="00367B4C" w:rsidRPr="00142D08" w:rsidRDefault="00367B4C" w:rsidP="00367B4C">
      <w:pPr>
        <w:pStyle w:val="ListParagraph"/>
        <w:numPr>
          <w:ilvl w:val="0"/>
          <w:numId w:val="45"/>
        </w:numPr>
        <w:spacing w:line="360" w:lineRule="auto"/>
        <w:rPr>
          <w:b/>
          <w:bCs/>
          <w:sz w:val="28"/>
          <w:szCs w:val="28"/>
        </w:rPr>
      </w:pPr>
      <w:r w:rsidRPr="00142D08">
        <w:rPr>
          <w:b/>
          <w:bCs/>
          <w:sz w:val="28"/>
          <w:szCs w:val="28"/>
        </w:rPr>
        <w:t>Britannia</w:t>
      </w:r>
    </w:p>
    <w:p w:rsidR="00367B4C" w:rsidRPr="00A805AA" w:rsidRDefault="00367B4C" w:rsidP="00367B4C">
      <w:pPr>
        <w:spacing w:line="360" w:lineRule="auto"/>
        <w:ind w:left="502"/>
        <w:contextualSpacing/>
        <w:jc w:val="center"/>
      </w:pPr>
      <w:r w:rsidRPr="00A805AA">
        <w:rPr>
          <w:b/>
          <w:bCs/>
        </w:rPr>
        <w:t>Table 4.30: Hypothesis Testing: Britannia</w:t>
      </w:r>
    </w:p>
    <w:tbl>
      <w:tblPr>
        <w:tblW w:w="7550" w:type="dxa"/>
        <w:tblInd w:w="736" w:type="dxa"/>
        <w:tblLook w:val="04A0"/>
      </w:tblPr>
      <w:tblGrid>
        <w:gridCol w:w="1910"/>
        <w:gridCol w:w="1339"/>
        <w:gridCol w:w="1493"/>
        <w:gridCol w:w="1339"/>
        <w:gridCol w:w="1469"/>
      </w:tblGrid>
      <w:tr w:rsidR="00367B4C" w:rsidRPr="00A805AA" w:rsidTr="00367B4C">
        <w:trPr>
          <w:trHeight w:val="368"/>
        </w:trPr>
        <w:tc>
          <w:tcPr>
            <w:tcW w:w="191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correlation®</w:t>
            </w:r>
          </w:p>
        </w:tc>
        <w:tc>
          <w:tcPr>
            <w:tcW w:w="1339"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N</w:t>
            </w:r>
          </w:p>
        </w:tc>
        <w:tc>
          <w:tcPr>
            <w:tcW w:w="1493"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T Statistics</w:t>
            </w:r>
          </w:p>
        </w:tc>
        <w:tc>
          <w:tcPr>
            <w:tcW w:w="1339"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DF</w:t>
            </w:r>
          </w:p>
        </w:tc>
        <w:tc>
          <w:tcPr>
            <w:tcW w:w="1469"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P value</w:t>
            </w:r>
          </w:p>
        </w:tc>
      </w:tr>
      <w:tr w:rsidR="00367B4C" w:rsidRPr="00A805AA" w:rsidTr="00367B4C">
        <w:trPr>
          <w:trHeight w:val="368"/>
        </w:trPr>
        <w:tc>
          <w:tcPr>
            <w:tcW w:w="1910" w:type="dxa"/>
            <w:tcBorders>
              <w:top w:val="nil"/>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0.430156</w:t>
            </w:r>
          </w:p>
        </w:tc>
        <w:tc>
          <w:tcPr>
            <w:tcW w:w="1339"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9</w:t>
            </w:r>
          </w:p>
        </w:tc>
        <w:tc>
          <w:tcPr>
            <w:tcW w:w="1493"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1.260682</w:t>
            </w:r>
          </w:p>
        </w:tc>
        <w:tc>
          <w:tcPr>
            <w:tcW w:w="1339"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7</w:t>
            </w:r>
          </w:p>
        </w:tc>
        <w:tc>
          <w:tcPr>
            <w:tcW w:w="1469"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0.247817</w:t>
            </w:r>
          </w:p>
        </w:tc>
      </w:tr>
    </w:tbl>
    <w:p w:rsidR="00367B4C" w:rsidRPr="00A805AA" w:rsidRDefault="00367B4C" w:rsidP="00367B4C">
      <w:pPr>
        <w:spacing w:line="360" w:lineRule="auto"/>
      </w:pPr>
    </w:p>
    <w:p w:rsidR="00367B4C" w:rsidRPr="00A805AA" w:rsidRDefault="00367B4C" w:rsidP="00367B4C">
      <w:pPr>
        <w:spacing w:line="360" w:lineRule="auto"/>
        <w:jc w:val="both"/>
      </w:pPr>
      <w:r w:rsidRPr="00A805AA">
        <w:rPr>
          <w:b/>
          <w:bCs/>
        </w:rPr>
        <w:t>Interpretation:</w:t>
      </w:r>
      <w:r w:rsidRPr="00A805AA">
        <w:t xml:space="preserve"> The correlation coefficient of 0.430 suggests a positive relationship between two variables within Britannia's data, albeit weaker than the previous example. The T statistic of 1.261 and the degrees of freedom of 7 and p-value of 0.248, which is above the level of significance ,indicating that the observed correlation is not statistically significant at the conventional level of 0.05.So we accept the null hypothesis that there is no significant correlation between the share price and quarterly results of Britannia.</w:t>
      </w:r>
    </w:p>
    <w:p w:rsidR="00367B4C" w:rsidRPr="00A805AA" w:rsidRDefault="00367B4C" w:rsidP="00367B4C">
      <w:pPr>
        <w:spacing w:line="360" w:lineRule="auto"/>
      </w:pPr>
    </w:p>
    <w:p w:rsidR="00367B4C" w:rsidRPr="00A805AA" w:rsidRDefault="00367B4C" w:rsidP="00367B4C">
      <w:pPr>
        <w:numPr>
          <w:ilvl w:val="0"/>
          <w:numId w:val="45"/>
        </w:numPr>
        <w:spacing w:line="360" w:lineRule="auto"/>
        <w:contextualSpacing/>
        <w:rPr>
          <w:b/>
          <w:bCs/>
          <w:sz w:val="28"/>
          <w:szCs w:val="28"/>
        </w:rPr>
      </w:pPr>
      <w:r w:rsidRPr="00A805AA">
        <w:rPr>
          <w:b/>
          <w:bCs/>
          <w:sz w:val="28"/>
          <w:szCs w:val="28"/>
        </w:rPr>
        <w:t>Dabur</w:t>
      </w:r>
    </w:p>
    <w:p w:rsidR="00367B4C" w:rsidRPr="00A805AA" w:rsidRDefault="00367B4C" w:rsidP="00367B4C">
      <w:pPr>
        <w:spacing w:line="360" w:lineRule="auto"/>
        <w:ind w:left="502"/>
        <w:contextualSpacing/>
        <w:rPr>
          <w:b/>
          <w:bCs/>
        </w:rPr>
      </w:pPr>
      <w:r w:rsidRPr="00A805AA">
        <w:rPr>
          <w:b/>
          <w:bCs/>
        </w:rPr>
        <w:t xml:space="preserve">           Table 4.31: Hypothesis Testing: Dabur </w:t>
      </w:r>
    </w:p>
    <w:tbl>
      <w:tblPr>
        <w:tblW w:w="7572" w:type="dxa"/>
        <w:tblInd w:w="907" w:type="dxa"/>
        <w:tblLook w:val="04A0"/>
      </w:tblPr>
      <w:tblGrid>
        <w:gridCol w:w="1917"/>
        <w:gridCol w:w="1343"/>
        <w:gridCol w:w="1496"/>
        <w:gridCol w:w="1343"/>
        <w:gridCol w:w="1473"/>
      </w:tblGrid>
      <w:tr w:rsidR="00367B4C" w:rsidRPr="00A805AA" w:rsidTr="00367B4C">
        <w:trPr>
          <w:trHeight w:val="418"/>
        </w:trPr>
        <w:tc>
          <w:tcPr>
            <w:tcW w:w="19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correlation®</w:t>
            </w:r>
          </w:p>
        </w:tc>
        <w:tc>
          <w:tcPr>
            <w:tcW w:w="1343"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N</w:t>
            </w:r>
          </w:p>
        </w:tc>
        <w:tc>
          <w:tcPr>
            <w:tcW w:w="1496"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T Statistics</w:t>
            </w:r>
          </w:p>
        </w:tc>
        <w:tc>
          <w:tcPr>
            <w:tcW w:w="1343"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DF</w:t>
            </w:r>
          </w:p>
        </w:tc>
        <w:tc>
          <w:tcPr>
            <w:tcW w:w="1473" w:type="dxa"/>
            <w:tcBorders>
              <w:top w:val="single" w:sz="4" w:space="0" w:color="auto"/>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P value</w:t>
            </w:r>
          </w:p>
        </w:tc>
      </w:tr>
      <w:tr w:rsidR="00367B4C" w:rsidRPr="00A805AA" w:rsidTr="00367B4C">
        <w:trPr>
          <w:trHeight w:val="418"/>
        </w:trPr>
        <w:tc>
          <w:tcPr>
            <w:tcW w:w="1917" w:type="dxa"/>
            <w:tcBorders>
              <w:top w:val="nil"/>
              <w:left w:val="single" w:sz="4" w:space="0" w:color="auto"/>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0.484135</w:t>
            </w:r>
          </w:p>
        </w:tc>
        <w:tc>
          <w:tcPr>
            <w:tcW w:w="1343"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9</w:t>
            </w:r>
          </w:p>
        </w:tc>
        <w:tc>
          <w:tcPr>
            <w:tcW w:w="1496"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1.463896</w:t>
            </w:r>
          </w:p>
        </w:tc>
        <w:tc>
          <w:tcPr>
            <w:tcW w:w="1343"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7</w:t>
            </w:r>
          </w:p>
        </w:tc>
        <w:tc>
          <w:tcPr>
            <w:tcW w:w="1473" w:type="dxa"/>
            <w:tcBorders>
              <w:top w:val="nil"/>
              <w:left w:val="nil"/>
              <w:bottom w:val="single" w:sz="8" w:space="0" w:color="auto"/>
              <w:right w:val="single" w:sz="8" w:space="0" w:color="auto"/>
            </w:tcBorders>
            <w:shd w:val="clear" w:color="auto" w:fill="auto"/>
            <w:noWrap/>
            <w:vAlign w:val="center"/>
            <w:hideMark/>
          </w:tcPr>
          <w:p w:rsidR="00367B4C" w:rsidRPr="00A805AA" w:rsidRDefault="00367B4C" w:rsidP="00367B4C">
            <w:pPr>
              <w:spacing w:after="0" w:line="360" w:lineRule="auto"/>
              <w:jc w:val="center"/>
              <w:rPr>
                <w:rFonts w:ascii="Calibri" w:eastAsia="Times New Roman" w:hAnsi="Calibri" w:cs="Calibri"/>
                <w:color w:val="000000"/>
                <w:kern w:val="0"/>
                <w:sz w:val="22"/>
                <w:szCs w:val="22"/>
                <w:lang w:eastAsia="en-IN"/>
              </w:rPr>
            </w:pPr>
            <w:r w:rsidRPr="00A805AA">
              <w:rPr>
                <w:rFonts w:ascii="Calibri" w:eastAsia="Times New Roman" w:hAnsi="Calibri" w:cs="Calibri"/>
                <w:color w:val="000000"/>
                <w:kern w:val="0"/>
                <w:sz w:val="22"/>
                <w:szCs w:val="22"/>
                <w:lang w:eastAsia="en-IN"/>
              </w:rPr>
              <w:t>0.186632</w:t>
            </w:r>
          </w:p>
        </w:tc>
      </w:tr>
    </w:tbl>
    <w:p w:rsidR="00367B4C" w:rsidRPr="00A805AA" w:rsidRDefault="00367B4C" w:rsidP="00367B4C">
      <w:pPr>
        <w:spacing w:line="360" w:lineRule="auto"/>
      </w:pPr>
    </w:p>
    <w:p w:rsidR="00367B4C" w:rsidRPr="00A805AA" w:rsidRDefault="00367B4C" w:rsidP="00367B4C">
      <w:pPr>
        <w:spacing w:line="360" w:lineRule="auto"/>
        <w:jc w:val="both"/>
      </w:pPr>
      <w:r w:rsidRPr="00A805AA">
        <w:rPr>
          <w:b/>
          <w:bCs/>
        </w:rPr>
        <w:t>Interpretation:</w:t>
      </w:r>
      <w:r w:rsidRPr="00A805AA">
        <w:t xml:space="preserve"> The correlation coefficient of 0.484 suggests a moderate positive relationship between share price and quarterly results .However, with a T statistic of 1.464 and a degree of freedom of 7, the calculated p-value of 0.187 indicates that the correlation is not statistically significant at the conventional significance level of 0.05.Therefore, based on this data, we accept the null hypothesis, suggesting that there is no significant correlation between the share price and quarterly results of Dabur.</w:t>
      </w:r>
      <w:bookmarkEnd w:id="24"/>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76646D" w:rsidRDefault="0076646D" w:rsidP="00CC1499">
      <w:pPr>
        <w:jc w:val="center"/>
        <w:rPr>
          <w:b/>
          <w:bCs/>
          <w:sz w:val="32"/>
          <w:szCs w:val="32"/>
        </w:rPr>
      </w:pPr>
    </w:p>
    <w:p w:rsidR="002600A4" w:rsidRDefault="002600A4" w:rsidP="00CC1499">
      <w:pPr>
        <w:jc w:val="center"/>
        <w:rPr>
          <w:b/>
          <w:bCs/>
          <w:sz w:val="32"/>
          <w:szCs w:val="32"/>
        </w:rPr>
      </w:pPr>
    </w:p>
    <w:p w:rsidR="002600A4" w:rsidRDefault="002600A4" w:rsidP="00CC1499">
      <w:pPr>
        <w:jc w:val="center"/>
        <w:rPr>
          <w:b/>
          <w:bCs/>
          <w:sz w:val="32"/>
          <w:szCs w:val="32"/>
        </w:rPr>
      </w:pPr>
    </w:p>
    <w:p w:rsidR="002600A4" w:rsidRDefault="002600A4" w:rsidP="00CC1499">
      <w:pPr>
        <w:jc w:val="center"/>
        <w:rPr>
          <w:b/>
          <w:bCs/>
          <w:sz w:val="32"/>
          <w:szCs w:val="32"/>
        </w:rPr>
      </w:pPr>
    </w:p>
    <w:p w:rsidR="002600A4" w:rsidRDefault="002600A4" w:rsidP="00CC1499">
      <w:pPr>
        <w:jc w:val="center"/>
        <w:rPr>
          <w:b/>
          <w:bCs/>
          <w:sz w:val="32"/>
          <w:szCs w:val="32"/>
        </w:rPr>
      </w:pPr>
    </w:p>
    <w:p w:rsidR="0076646D" w:rsidRDefault="0076646D"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r>
        <w:rPr>
          <w:b/>
          <w:bCs/>
          <w:sz w:val="32"/>
          <w:szCs w:val="32"/>
        </w:rPr>
        <w:t>CHAPTER 5</w:t>
      </w:r>
    </w:p>
    <w:p w:rsidR="00CC1499" w:rsidRDefault="00CC1499" w:rsidP="00CC1499">
      <w:pPr>
        <w:jc w:val="center"/>
        <w:rPr>
          <w:b/>
          <w:bCs/>
          <w:sz w:val="32"/>
          <w:szCs w:val="32"/>
        </w:rPr>
      </w:pPr>
      <w:r>
        <w:rPr>
          <w:b/>
          <w:bCs/>
          <w:sz w:val="32"/>
          <w:szCs w:val="32"/>
        </w:rPr>
        <w:t>FINDINGS SUGGESTION AND CONCLUSION</w:t>
      </w: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bookmarkEnd w:id="11"/>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0705CB">
      <w:pPr>
        <w:rPr>
          <w:b/>
          <w:bCs/>
          <w:sz w:val="32"/>
          <w:szCs w:val="32"/>
        </w:rPr>
      </w:pPr>
      <w:bookmarkStart w:id="25" w:name="_Hlk162166132"/>
    </w:p>
    <w:p w:rsidR="002600A4" w:rsidRPr="004728BE" w:rsidRDefault="002600A4" w:rsidP="002600A4">
      <w:pPr>
        <w:pStyle w:val="ListParagraph"/>
        <w:numPr>
          <w:ilvl w:val="1"/>
          <w:numId w:val="31"/>
        </w:numPr>
        <w:tabs>
          <w:tab w:val="left" w:pos="1234"/>
        </w:tabs>
        <w:spacing w:line="360" w:lineRule="auto"/>
        <w:rPr>
          <w:b/>
          <w:bCs/>
          <w:sz w:val="28"/>
          <w:szCs w:val="28"/>
        </w:rPr>
      </w:pPr>
      <w:r w:rsidRPr="004728BE">
        <w:rPr>
          <w:b/>
          <w:bCs/>
          <w:sz w:val="28"/>
          <w:szCs w:val="28"/>
        </w:rPr>
        <w:lastRenderedPageBreak/>
        <w:t xml:space="preserve">FINDINGS </w:t>
      </w:r>
    </w:p>
    <w:p w:rsidR="002600A4" w:rsidRPr="004728BE" w:rsidRDefault="002600A4" w:rsidP="002600A4">
      <w:pPr>
        <w:tabs>
          <w:tab w:val="left" w:pos="1234"/>
        </w:tabs>
        <w:spacing w:line="360" w:lineRule="auto"/>
        <w:jc w:val="both"/>
        <w:rPr>
          <w:color w:val="000000"/>
          <w:shd w:val="clear" w:color="auto" w:fill="FFFFFF"/>
        </w:rPr>
      </w:pPr>
      <w:r w:rsidRPr="004728BE">
        <w:rPr>
          <w:color w:val="000000"/>
          <w:shd w:val="clear" w:color="auto" w:fill="FFFFFF"/>
        </w:rPr>
        <w:t>The project's findings refer to the main results, insights, or conclusions drawn from the research or analysis. These findings are usually based on the data collected, the analysis done, and the research questions or hypotheses investigated. They offer understanding into the specific topic or problem being studied.</w:t>
      </w:r>
    </w:p>
    <w:p w:rsidR="002600A4" w:rsidRDefault="002600A4" w:rsidP="002600A4">
      <w:pPr>
        <w:pStyle w:val="ListParagraph"/>
        <w:tabs>
          <w:tab w:val="left" w:pos="1234"/>
        </w:tabs>
        <w:spacing w:line="360" w:lineRule="auto"/>
        <w:jc w:val="both"/>
        <w:rPr>
          <w:color w:val="000000"/>
          <w:shd w:val="clear" w:color="auto" w:fill="FFFFFF"/>
        </w:rPr>
      </w:pPr>
    </w:p>
    <w:p w:rsidR="002600A4" w:rsidRPr="004728BE" w:rsidRDefault="002600A4" w:rsidP="002600A4">
      <w:pPr>
        <w:tabs>
          <w:tab w:val="left" w:pos="1234"/>
        </w:tabs>
        <w:spacing w:line="360" w:lineRule="auto"/>
        <w:jc w:val="both"/>
        <w:rPr>
          <w:b/>
          <w:bCs/>
          <w:lang w:val="en-US"/>
        </w:rPr>
      </w:pPr>
      <w:r w:rsidRPr="004728BE">
        <w:rPr>
          <w:b/>
          <w:bCs/>
          <w:lang w:val="en-US"/>
        </w:rPr>
        <w:t>Objective 1: To identify the relationship between the share price movements of the selected FMCG industry and their quarterly results.</w:t>
      </w:r>
    </w:p>
    <w:p w:rsidR="002600A4" w:rsidRDefault="002600A4" w:rsidP="002600A4">
      <w:pPr>
        <w:pStyle w:val="ListParagraph"/>
        <w:numPr>
          <w:ilvl w:val="0"/>
          <w:numId w:val="43"/>
        </w:numPr>
        <w:spacing w:line="360" w:lineRule="auto"/>
        <w:jc w:val="both"/>
      </w:pPr>
      <w:r>
        <w:t>The correlation between quarterly results and the share prices of Hindustan Unilever is 0.36. Here they show a weak positive correlation.</w:t>
      </w:r>
      <w:r w:rsidRPr="00116136">
        <w:t>With a p-value greater than 0.05 (</w:t>
      </w:r>
      <w:r>
        <w:t>0.33</w:t>
      </w:r>
      <w:r w:rsidRPr="00116136">
        <w:t>), we accept the null hypothesis and conclude that there is no significant correlation between the quarterly results and share prices for Hindustan Unilever.</w:t>
      </w:r>
    </w:p>
    <w:p w:rsidR="002600A4" w:rsidRDefault="002600A4" w:rsidP="002600A4">
      <w:pPr>
        <w:pStyle w:val="ListParagraph"/>
        <w:spacing w:line="360" w:lineRule="auto"/>
        <w:ind w:left="1080"/>
        <w:jc w:val="both"/>
      </w:pPr>
    </w:p>
    <w:p w:rsidR="002600A4" w:rsidRDefault="002600A4" w:rsidP="002600A4">
      <w:pPr>
        <w:pStyle w:val="ListParagraph"/>
        <w:numPr>
          <w:ilvl w:val="0"/>
          <w:numId w:val="43"/>
        </w:numPr>
        <w:spacing w:line="360" w:lineRule="auto"/>
        <w:jc w:val="both"/>
      </w:pPr>
      <w:r>
        <w:t>The correlation between quarterly results and the share prices of ITC is 0.99. Here they show a strong positive correlation.As the p-value is less than 0.05 (0.002) we reject the null hypothesis and conclude that there is significant correlation between quarterly results and share price.</w:t>
      </w:r>
    </w:p>
    <w:p w:rsidR="002600A4" w:rsidRDefault="002600A4" w:rsidP="002600A4">
      <w:pPr>
        <w:pStyle w:val="ListParagraph"/>
      </w:pPr>
    </w:p>
    <w:p w:rsidR="002600A4" w:rsidRDefault="002600A4" w:rsidP="002600A4">
      <w:pPr>
        <w:pStyle w:val="ListParagraph"/>
        <w:numPr>
          <w:ilvl w:val="0"/>
          <w:numId w:val="43"/>
        </w:numPr>
        <w:spacing w:line="360" w:lineRule="auto"/>
        <w:jc w:val="both"/>
      </w:pPr>
      <w:r>
        <w:t>The correlation between quarterly results and share price of Colgate-Palmolive is 0.55. Here they show a moderately strong positive correlation. As the p-value is more than 0.05 (0.121) we accept the null hypothesis and conclude that there is no significant correlation between quarterly results and share price.</w:t>
      </w:r>
    </w:p>
    <w:p w:rsidR="002600A4" w:rsidRDefault="002600A4" w:rsidP="002600A4">
      <w:pPr>
        <w:pStyle w:val="ListParagraph"/>
      </w:pPr>
    </w:p>
    <w:p w:rsidR="002600A4" w:rsidRDefault="002600A4" w:rsidP="002600A4">
      <w:pPr>
        <w:pStyle w:val="ListParagraph"/>
        <w:numPr>
          <w:ilvl w:val="0"/>
          <w:numId w:val="43"/>
        </w:numPr>
        <w:spacing w:line="360" w:lineRule="auto"/>
        <w:jc w:val="both"/>
      </w:pPr>
      <w:r>
        <w:t>The correlation between quarterly results and share price of Britannia is 0.43. Here they show a weak positive correlation. As the p-value is more than 0.05 (0.247) we accept the null hypothesis and conclude that there is no significant correlation between quarterly results and share price.</w:t>
      </w:r>
    </w:p>
    <w:p w:rsidR="002600A4" w:rsidRDefault="002600A4" w:rsidP="002600A4">
      <w:pPr>
        <w:pStyle w:val="ListParagraph"/>
      </w:pPr>
    </w:p>
    <w:p w:rsidR="002600A4" w:rsidRDefault="002600A4" w:rsidP="002600A4">
      <w:pPr>
        <w:pStyle w:val="ListParagraph"/>
        <w:numPr>
          <w:ilvl w:val="0"/>
          <w:numId w:val="43"/>
        </w:numPr>
        <w:spacing w:line="360" w:lineRule="auto"/>
        <w:jc w:val="both"/>
      </w:pPr>
      <w:r>
        <w:t>The correlation between quarterly results and share price of Dabur is 0.48. Here they show a weak positive correlation. As the p-value is more than 0.05 (0.186) we accept the null hypothesis and conclude that there is no significant correlation between quarterly results and share price.</w:t>
      </w:r>
    </w:p>
    <w:p w:rsidR="002600A4" w:rsidRDefault="002600A4" w:rsidP="002600A4">
      <w:pPr>
        <w:tabs>
          <w:tab w:val="left" w:pos="1234"/>
        </w:tabs>
        <w:spacing w:line="360" w:lineRule="auto"/>
        <w:jc w:val="both"/>
        <w:rPr>
          <w:b/>
          <w:bCs/>
        </w:rPr>
      </w:pPr>
    </w:p>
    <w:p w:rsidR="002600A4" w:rsidRDefault="002600A4" w:rsidP="002600A4">
      <w:pPr>
        <w:tabs>
          <w:tab w:val="left" w:pos="1234"/>
        </w:tabs>
        <w:spacing w:line="360" w:lineRule="auto"/>
        <w:jc w:val="both"/>
        <w:rPr>
          <w:b/>
          <w:bCs/>
        </w:rPr>
      </w:pPr>
      <w:r w:rsidRPr="00692036">
        <w:rPr>
          <w:b/>
          <w:bCs/>
        </w:rPr>
        <w:t>Objective 2: To analyse the quarterly financial performances of selected FMCG companies.</w:t>
      </w:r>
    </w:p>
    <w:p w:rsidR="002600A4" w:rsidRPr="00976151" w:rsidRDefault="002600A4" w:rsidP="002600A4">
      <w:pPr>
        <w:pStyle w:val="ListParagraph"/>
        <w:numPr>
          <w:ilvl w:val="0"/>
          <w:numId w:val="38"/>
        </w:numPr>
        <w:tabs>
          <w:tab w:val="left" w:pos="1234"/>
        </w:tabs>
        <w:spacing w:line="360" w:lineRule="auto"/>
        <w:jc w:val="both"/>
        <w:rPr>
          <w:b/>
          <w:bCs/>
        </w:rPr>
      </w:pPr>
      <w:r>
        <w:t>In Hindustan Unilever, the net profit ratio was highest during September 2022 which was 17.63% and lowest net profit ratio was on December 2022 of 15.91%.O</w:t>
      </w:r>
      <w:r w:rsidRPr="006C2E65">
        <w:t xml:space="preserve">perating profit ratio </w:t>
      </w:r>
      <w:r>
        <w:t>was greatest during December 2021 which was 25.37% and lowest of 22.97% during September 2022. The highest EPS was in the quarter ending September 2022</w:t>
      </w:r>
    </w:p>
    <w:p w:rsidR="002600A4" w:rsidRPr="008F5502" w:rsidRDefault="002600A4" w:rsidP="002600A4">
      <w:pPr>
        <w:pStyle w:val="ListParagraph"/>
        <w:tabs>
          <w:tab w:val="left" w:pos="1234"/>
        </w:tabs>
        <w:spacing w:line="360" w:lineRule="auto"/>
        <w:jc w:val="both"/>
        <w:rPr>
          <w:b/>
          <w:bCs/>
        </w:rPr>
      </w:pPr>
    </w:p>
    <w:p w:rsidR="002600A4" w:rsidRPr="00976151" w:rsidRDefault="002600A4" w:rsidP="002600A4">
      <w:pPr>
        <w:pStyle w:val="ListParagraph"/>
        <w:numPr>
          <w:ilvl w:val="0"/>
          <w:numId w:val="38"/>
        </w:numPr>
        <w:tabs>
          <w:tab w:val="left" w:pos="1234"/>
        </w:tabs>
        <w:spacing w:line="360" w:lineRule="auto"/>
        <w:jc w:val="both"/>
        <w:rPr>
          <w:b/>
          <w:bCs/>
        </w:rPr>
      </w:pPr>
      <w:r>
        <w:t>In ITC, the net profit ratio was highest during June 2023 which was 30.24% and lowest net profit ratio was on December 2021 of 24.12%. O</w:t>
      </w:r>
      <w:r w:rsidRPr="006C2E65">
        <w:t xml:space="preserve">perating profit ratio </w:t>
      </w:r>
      <w:r>
        <w:t xml:space="preserve">was greatest during June 2023 which was 38.86% and lowest of 32.72% during December 2021.The highest EPS was during the quarter March 2023.  </w:t>
      </w:r>
    </w:p>
    <w:p w:rsidR="002600A4" w:rsidRPr="008F5502" w:rsidRDefault="002600A4" w:rsidP="002600A4">
      <w:pPr>
        <w:pStyle w:val="ListParagraph"/>
        <w:tabs>
          <w:tab w:val="left" w:pos="1234"/>
        </w:tabs>
        <w:spacing w:line="360" w:lineRule="auto"/>
        <w:jc w:val="both"/>
        <w:rPr>
          <w:b/>
          <w:bCs/>
        </w:rPr>
      </w:pPr>
    </w:p>
    <w:p w:rsidR="002600A4" w:rsidRPr="00ED37BF" w:rsidRDefault="002600A4" w:rsidP="002600A4">
      <w:pPr>
        <w:pStyle w:val="ListParagraph"/>
        <w:numPr>
          <w:ilvl w:val="0"/>
          <w:numId w:val="38"/>
        </w:numPr>
        <w:tabs>
          <w:tab w:val="left" w:pos="1234"/>
        </w:tabs>
        <w:spacing w:line="360" w:lineRule="auto"/>
        <w:jc w:val="both"/>
        <w:rPr>
          <w:b/>
          <w:bCs/>
        </w:rPr>
      </w:pPr>
      <w:r>
        <w:t>In Colgate-Palmolive, the net profit ratio was highest during March 2022 which was 24.90% and lowest net profit ratio was on June 2022 of 17.54%. T</w:t>
      </w:r>
      <w:r w:rsidRPr="006C2E65">
        <w:t xml:space="preserve">he operating profit ratio </w:t>
      </w:r>
      <w:r>
        <w:t>was greatest during March 2023 which was 33.46% and lowest of 27.23% during June 2022.</w:t>
      </w:r>
      <w:r w:rsidRPr="00C61403">
        <w:t>The highest EPS was during the quarter ending September 2023</w:t>
      </w:r>
      <w:r>
        <w:t>.</w:t>
      </w:r>
    </w:p>
    <w:p w:rsidR="002600A4" w:rsidRDefault="002600A4" w:rsidP="002600A4">
      <w:pPr>
        <w:pStyle w:val="ListParagraph"/>
      </w:pPr>
    </w:p>
    <w:p w:rsidR="002600A4" w:rsidRPr="00ED37BF" w:rsidRDefault="002600A4" w:rsidP="002600A4">
      <w:pPr>
        <w:pStyle w:val="ListParagraph"/>
        <w:numPr>
          <w:ilvl w:val="0"/>
          <w:numId w:val="38"/>
        </w:numPr>
        <w:tabs>
          <w:tab w:val="left" w:pos="1234"/>
        </w:tabs>
        <w:spacing w:line="360" w:lineRule="auto"/>
        <w:jc w:val="both"/>
        <w:rPr>
          <w:b/>
          <w:bCs/>
        </w:rPr>
      </w:pPr>
      <w:r>
        <w:t>In Britannia, the net profit ratio was highest during December 2022 which was 27.58% and lowest net profit ratio was on June 2022 of 10.5%. O</w:t>
      </w:r>
      <w:r w:rsidRPr="006C2E65">
        <w:t xml:space="preserve">perating profit ratio </w:t>
      </w:r>
      <w:r>
        <w:t>was greatest during June 2023 which was 26.22% and lowest of 16.69% during March 2022.The highest EPS was during the quarter ending March 2023.</w:t>
      </w:r>
    </w:p>
    <w:p w:rsidR="002600A4" w:rsidRDefault="002600A4" w:rsidP="002600A4">
      <w:pPr>
        <w:pStyle w:val="ListParagraph"/>
      </w:pPr>
    </w:p>
    <w:p w:rsidR="002600A4" w:rsidRPr="00ED37BF" w:rsidRDefault="002600A4" w:rsidP="002600A4">
      <w:pPr>
        <w:pStyle w:val="ListParagraph"/>
        <w:numPr>
          <w:ilvl w:val="0"/>
          <w:numId w:val="38"/>
        </w:numPr>
        <w:tabs>
          <w:tab w:val="left" w:pos="1234"/>
        </w:tabs>
        <w:spacing w:line="360" w:lineRule="auto"/>
        <w:jc w:val="both"/>
        <w:rPr>
          <w:b/>
          <w:bCs/>
        </w:rPr>
      </w:pPr>
      <w:r>
        <w:t>In Dabur, the net profit ratio was highest during September 2021 which was 17.92% and lowest net profit ratio was on March 2023 of 10.94%. O</w:t>
      </w:r>
      <w:r w:rsidRPr="006C2E65">
        <w:t xml:space="preserve">perating profit ratio </w:t>
      </w:r>
      <w:r>
        <w:t>was greatest during September 2021 which was 22% and lowest of 15.31 % during March 2023. The EPS was highest during the quarter ending September 2023.</w:t>
      </w:r>
    </w:p>
    <w:p w:rsidR="002600A4" w:rsidRPr="00976151" w:rsidRDefault="002600A4" w:rsidP="002600A4">
      <w:pPr>
        <w:pStyle w:val="ListParagraph"/>
        <w:rPr>
          <w:color w:val="0D0D0D"/>
          <w:shd w:val="clear" w:color="auto" w:fill="FFFFFF"/>
        </w:rPr>
      </w:pPr>
    </w:p>
    <w:p w:rsidR="002600A4" w:rsidRPr="00F318FC" w:rsidRDefault="002600A4" w:rsidP="002600A4">
      <w:pPr>
        <w:pStyle w:val="ListParagraph"/>
        <w:numPr>
          <w:ilvl w:val="0"/>
          <w:numId w:val="38"/>
        </w:numPr>
        <w:tabs>
          <w:tab w:val="left" w:pos="1234"/>
        </w:tabs>
        <w:spacing w:line="360" w:lineRule="auto"/>
        <w:jc w:val="both"/>
        <w:rPr>
          <w:b/>
          <w:bCs/>
        </w:rPr>
      </w:pPr>
      <w:r w:rsidRPr="00976151">
        <w:rPr>
          <w:color w:val="0D0D0D"/>
          <w:shd w:val="clear" w:color="auto" w:fill="FFFFFF"/>
        </w:rPr>
        <w:t>Hindustan Unilever and ITC shows overall upward trends, with increase in net profit percentages over the time</w:t>
      </w:r>
      <w:r>
        <w:rPr>
          <w:color w:val="0D0D0D"/>
          <w:shd w:val="clear" w:color="auto" w:fill="FFFFFF"/>
        </w:rPr>
        <w:t xml:space="preserve">. </w:t>
      </w:r>
      <w:r w:rsidRPr="00976151">
        <w:rPr>
          <w:color w:val="0D0D0D"/>
          <w:shd w:val="clear" w:color="auto" w:fill="FFFFFF"/>
        </w:rPr>
        <w:t xml:space="preserve">Colgate-Palmolive displays a fluctuating trend, </w:t>
      </w:r>
      <w:r w:rsidRPr="00976151">
        <w:rPr>
          <w:color w:val="0D0D0D"/>
          <w:shd w:val="clear" w:color="auto" w:fill="FFFFFF"/>
        </w:rPr>
        <w:lastRenderedPageBreak/>
        <w:t>with peaks and dips in net profit percentages. Britannia exhibits a steadily increasing trend while Dabur's trend appears less stable, with varying percentages across the quarters .</w:t>
      </w:r>
    </w:p>
    <w:p w:rsidR="002600A4" w:rsidRDefault="002600A4" w:rsidP="002600A4">
      <w:pPr>
        <w:tabs>
          <w:tab w:val="left" w:pos="1234"/>
        </w:tabs>
        <w:spacing w:line="360" w:lineRule="auto"/>
        <w:jc w:val="both"/>
      </w:pPr>
      <w:r w:rsidRPr="00976151">
        <w:rPr>
          <w:b/>
          <w:bCs/>
        </w:rPr>
        <w:t>Objective 3: To understand the composition and dynamics of ownership within the industry by examining the shareholding patterns</w:t>
      </w:r>
      <w:r>
        <w:t>.</w:t>
      </w:r>
    </w:p>
    <w:p w:rsidR="002600A4" w:rsidRDefault="002600A4" w:rsidP="002600A4">
      <w:pPr>
        <w:pStyle w:val="ListParagraph"/>
        <w:numPr>
          <w:ilvl w:val="0"/>
          <w:numId w:val="32"/>
        </w:numPr>
        <w:tabs>
          <w:tab w:val="left" w:pos="1234"/>
        </w:tabs>
        <w:spacing w:line="360" w:lineRule="auto"/>
        <w:jc w:val="both"/>
      </w:pPr>
      <w:r>
        <w:t>In Hindustan Unilever, promoter’s shareholding remains constant throughout the 9 quarters and they hold the highest shares. Government holds the lowest volume of shares among the shareholders.</w:t>
      </w:r>
    </w:p>
    <w:p w:rsidR="002600A4" w:rsidRDefault="002600A4" w:rsidP="002600A4">
      <w:pPr>
        <w:pStyle w:val="ListParagraph"/>
        <w:tabs>
          <w:tab w:val="left" w:pos="1234"/>
        </w:tabs>
        <w:spacing w:line="360" w:lineRule="auto"/>
        <w:ind w:left="1080"/>
        <w:jc w:val="both"/>
      </w:pPr>
    </w:p>
    <w:p w:rsidR="002600A4" w:rsidRDefault="002600A4" w:rsidP="002600A4">
      <w:pPr>
        <w:pStyle w:val="ListParagraph"/>
        <w:numPr>
          <w:ilvl w:val="0"/>
          <w:numId w:val="32"/>
        </w:numPr>
        <w:tabs>
          <w:tab w:val="left" w:pos="1234"/>
        </w:tabs>
        <w:spacing w:line="360" w:lineRule="auto"/>
        <w:jc w:val="both"/>
      </w:pPr>
      <w:r>
        <w:t>In ITC, Public shareholdings were decreasing from 45.47% to 14.68% and government shareholdings were consistent and had the lowest shares.</w:t>
      </w:r>
    </w:p>
    <w:p w:rsidR="002600A4" w:rsidRDefault="002600A4" w:rsidP="002600A4">
      <w:pPr>
        <w:pStyle w:val="ListParagraph"/>
        <w:jc w:val="both"/>
      </w:pPr>
    </w:p>
    <w:p w:rsidR="002600A4" w:rsidRDefault="002600A4" w:rsidP="002600A4">
      <w:pPr>
        <w:pStyle w:val="ListParagraph"/>
        <w:numPr>
          <w:ilvl w:val="0"/>
          <w:numId w:val="32"/>
        </w:numPr>
        <w:tabs>
          <w:tab w:val="left" w:pos="1234"/>
        </w:tabs>
        <w:spacing w:line="360" w:lineRule="auto"/>
        <w:jc w:val="both"/>
      </w:pPr>
      <w:r>
        <w:t>In Colgate-Palmolive, the promoters holding were consistent throughout the nine quarters and they were holding the highest shares. The government shareholdings remained almost consistent and they were holding the lowest shares.</w:t>
      </w:r>
    </w:p>
    <w:p w:rsidR="002600A4" w:rsidRDefault="002600A4" w:rsidP="002600A4">
      <w:pPr>
        <w:pStyle w:val="ListParagraph"/>
        <w:jc w:val="both"/>
      </w:pPr>
    </w:p>
    <w:p w:rsidR="002600A4" w:rsidRDefault="002600A4" w:rsidP="002600A4">
      <w:pPr>
        <w:pStyle w:val="ListParagraph"/>
        <w:numPr>
          <w:ilvl w:val="0"/>
          <w:numId w:val="32"/>
        </w:numPr>
        <w:tabs>
          <w:tab w:val="left" w:pos="1234"/>
        </w:tabs>
        <w:spacing w:line="360" w:lineRule="auto"/>
        <w:jc w:val="both"/>
      </w:pPr>
      <w:r>
        <w:t>In Britannia, the promoters remained consistent throughout the nine quarters and were holding highest shares of 50.55%. The public shareholdings were declining from 20.28% during the quarter ending September 2021 to 15.94% during the quarter ending September 2023.</w:t>
      </w:r>
    </w:p>
    <w:p w:rsidR="002600A4" w:rsidRDefault="002600A4" w:rsidP="002600A4">
      <w:pPr>
        <w:pStyle w:val="ListParagraph"/>
        <w:jc w:val="both"/>
      </w:pPr>
    </w:p>
    <w:p w:rsidR="002600A4" w:rsidRPr="009961E7" w:rsidRDefault="002600A4" w:rsidP="002600A4">
      <w:pPr>
        <w:pStyle w:val="ListParagraph"/>
        <w:numPr>
          <w:ilvl w:val="0"/>
          <w:numId w:val="32"/>
        </w:numPr>
        <w:tabs>
          <w:tab w:val="left" w:pos="1234"/>
        </w:tabs>
        <w:spacing w:line="360" w:lineRule="auto"/>
        <w:jc w:val="both"/>
      </w:pPr>
      <w:r>
        <w:t>In Dabur, the promoter’s shareholding have been holding the highest shares and remaining almost consistent throughout the nine quarters. The FII”s have been declining throughout the quarters.</w:t>
      </w:r>
    </w:p>
    <w:p w:rsidR="002600A4" w:rsidRPr="008B1B15" w:rsidRDefault="002600A4" w:rsidP="002600A4">
      <w:pPr>
        <w:pStyle w:val="ListParagraph"/>
        <w:tabs>
          <w:tab w:val="left" w:pos="1234"/>
        </w:tabs>
        <w:spacing w:line="360" w:lineRule="auto"/>
        <w:ind w:left="1080"/>
      </w:pPr>
    </w:p>
    <w:p w:rsidR="002600A4" w:rsidRPr="008B1B15" w:rsidRDefault="002600A4" w:rsidP="002600A4">
      <w:pPr>
        <w:pStyle w:val="ListParagraph"/>
        <w:numPr>
          <w:ilvl w:val="1"/>
          <w:numId w:val="31"/>
        </w:numPr>
        <w:tabs>
          <w:tab w:val="left" w:pos="1234"/>
        </w:tabs>
        <w:spacing w:line="360" w:lineRule="auto"/>
        <w:rPr>
          <w:b/>
          <w:bCs/>
          <w:sz w:val="28"/>
          <w:szCs w:val="28"/>
        </w:rPr>
      </w:pPr>
      <w:r w:rsidRPr="00094EC7">
        <w:rPr>
          <w:b/>
          <w:bCs/>
          <w:sz w:val="28"/>
          <w:szCs w:val="28"/>
        </w:rPr>
        <w:t xml:space="preserve">SUGGESTIONS </w:t>
      </w:r>
    </w:p>
    <w:p w:rsidR="002600A4" w:rsidRPr="00D140A7" w:rsidRDefault="002600A4" w:rsidP="002600A4">
      <w:pPr>
        <w:pStyle w:val="ListParagraph"/>
        <w:numPr>
          <w:ilvl w:val="0"/>
          <w:numId w:val="33"/>
        </w:numPr>
        <w:tabs>
          <w:tab w:val="left" w:pos="1234"/>
        </w:tabs>
        <w:spacing w:line="360" w:lineRule="auto"/>
        <w:jc w:val="both"/>
        <w:rPr>
          <w:b/>
          <w:bCs/>
        </w:rPr>
      </w:pPr>
      <w:r>
        <w:rPr>
          <w:color w:val="0D0D0D"/>
          <w:shd w:val="clear" w:color="auto" w:fill="FFFFFF"/>
        </w:rPr>
        <w:t>Clear and consistent financial guidance has to be provided throughout the quarters. This can be done by revising the projections to avoid significant surprises during the announcement of results.</w:t>
      </w:r>
    </w:p>
    <w:p w:rsidR="002600A4" w:rsidRPr="00D140A7" w:rsidRDefault="002600A4" w:rsidP="002600A4">
      <w:pPr>
        <w:pStyle w:val="ListParagraph"/>
        <w:tabs>
          <w:tab w:val="left" w:pos="1234"/>
        </w:tabs>
        <w:spacing w:line="360" w:lineRule="auto"/>
        <w:jc w:val="both"/>
        <w:rPr>
          <w:b/>
          <w:bCs/>
        </w:rPr>
      </w:pPr>
    </w:p>
    <w:p w:rsidR="002600A4" w:rsidRPr="00E500E5" w:rsidRDefault="002600A4" w:rsidP="002600A4">
      <w:pPr>
        <w:pStyle w:val="ListParagraph"/>
        <w:numPr>
          <w:ilvl w:val="0"/>
          <w:numId w:val="33"/>
        </w:numPr>
        <w:tabs>
          <w:tab w:val="left" w:pos="1234"/>
        </w:tabs>
        <w:spacing w:line="360" w:lineRule="auto"/>
        <w:jc w:val="both"/>
        <w:rPr>
          <w:b/>
          <w:bCs/>
        </w:rPr>
      </w:pPr>
      <w:r>
        <w:t xml:space="preserve">In order to clarify any ambiguities or to address any concerns, regularly interact with the investors and analysts throughout the quarters </w:t>
      </w:r>
    </w:p>
    <w:p w:rsidR="002600A4" w:rsidRPr="00E500E5" w:rsidRDefault="002600A4" w:rsidP="002600A4">
      <w:pPr>
        <w:pStyle w:val="ListParagraph"/>
        <w:tabs>
          <w:tab w:val="left" w:pos="1234"/>
        </w:tabs>
        <w:spacing w:line="360" w:lineRule="auto"/>
        <w:jc w:val="both"/>
        <w:rPr>
          <w:b/>
          <w:bCs/>
        </w:rPr>
      </w:pPr>
    </w:p>
    <w:p w:rsidR="002600A4" w:rsidRPr="003E4697" w:rsidRDefault="002600A4" w:rsidP="002600A4">
      <w:pPr>
        <w:pStyle w:val="ListParagraph"/>
        <w:numPr>
          <w:ilvl w:val="0"/>
          <w:numId w:val="33"/>
        </w:numPr>
        <w:tabs>
          <w:tab w:val="left" w:pos="1234"/>
        </w:tabs>
        <w:spacing w:line="360" w:lineRule="auto"/>
        <w:jc w:val="both"/>
        <w:rPr>
          <w:b/>
          <w:bCs/>
        </w:rPr>
      </w:pPr>
      <w:r>
        <w:t>Focus on the controllable factors of the company like cost management or product launches, by downplaying the uncontrollable factors like inflation and currency fluctuations can help to manage the investor expectations.</w:t>
      </w:r>
    </w:p>
    <w:p w:rsidR="002600A4" w:rsidRPr="00142D08" w:rsidRDefault="002600A4" w:rsidP="002600A4">
      <w:pPr>
        <w:pStyle w:val="ListParagraph"/>
        <w:numPr>
          <w:ilvl w:val="1"/>
          <w:numId w:val="31"/>
        </w:numPr>
        <w:rPr>
          <w:b/>
          <w:bCs/>
          <w:sz w:val="28"/>
          <w:szCs w:val="28"/>
        </w:rPr>
      </w:pPr>
      <w:r w:rsidRPr="00142D08">
        <w:rPr>
          <w:b/>
          <w:bCs/>
          <w:sz w:val="28"/>
          <w:szCs w:val="28"/>
        </w:rPr>
        <w:t xml:space="preserve">POLICY IMPLICATION OF THE STUDY </w:t>
      </w:r>
    </w:p>
    <w:p w:rsidR="002600A4" w:rsidRPr="00102C73" w:rsidRDefault="002600A4" w:rsidP="002600A4">
      <w:pPr>
        <w:spacing w:line="360" w:lineRule="auto"/>
        <w:ind w:left="360"/>
        <w:jc w:val="both"/>
      </w:pPr>
      <w:r w:rsidRPr="00102C73">
        <w:t>The strong correlation between share price movements and the quarterly results of the FMCG companies suggests that the investors are reacting efficiently to the company performance. some policy implications of this correlation is mentioned below:</w:t>
      </w:r>
    </w:p>
    <w:p w:rsidR="002600A4" w:rsidRPr="00102C73" w:rsidRDefault="002600A4" w:rsidP="002600A4">
      <w:pPr>
        <w:pStyle w:val="ListParagraph"/>
        <w:numPr>
          <w:ilvl w:val="0"/>
          <w:numId w:val="39"/>
        </w:numPr>
        <w:spacing w:line="360" w:lineRule="auto"/>
        <w:jc w:val="both"/>
      </w:pPr>
      <w:r w:rsidRPr="00102C73">
        <w:rPr>
          <w:b/>
          <w:bCs/>
        </w:rPr>
        <w:t>Regulatory scrutiny:</w:t>
      </w:r>
      <w:r w:rsidRPr="00102C73">
        <w:t xml:space="preserve"> By focusing on transparency, regulators can emphasize a transparent financial reporting by the FMCG companies. The investors can take decisions on the basis of this accurate information that will lead to a stable market </w:t>
      </w:r>
    </w:p>
    <w:p w:rsidR="002600A4" w:rsidRPr="00102C73" w:rsidRDefault="002600A4" w:rsidP="002600A4">
      <w:pPr>
        <w:pStyle w:val="ListParagraph"/>
        <w:numPr>
          <w:ilvl w:val="0"/>
          <w:numId w:val="39"/>
        </w:numPr>
        <w:spacing w:line="360" w:lineRule="auto"/>
        <w:jc w:val="both"/>
      </w:pPr>
      <w:r w:rsidRPr="00102C73">
        <w:rPr>
          <w:b/>
          <w:bCs/>
        </w:rPr>
        <w:t>Investor education</w:t>
      </w:r>
      <w:r w:rsidRPr="00102C73">
        <w:t>: In order to educate the investors, the policymakers has to promote the financial literacy initiative on how to interpret the financials of the FMCG companies. This will help the investors to take informed decisions.</w:t>
      </w:r>
    </w:p>
    <w:p w:rsidR="002600A4" w:rsidRPr="00102C73" w:rsidRDefault="002600A4" w:rsidP="002600A4">
      <w:pPr>
        <w:pStyle w:val="ListParagraph"/>
        <w:numPr>
          <w:ilvl w:val="0"/>
          <w:numId w:val="39"/>
        </w:numPr>
        <w:spacing w:line="360" w:lineRule="auto"/>
        <w:jc w:val="both"/>
      </w:pPr>
      <w:r w:rsidRPr="00102C73">
        <w:rPr>
          <w:b/>
          <w:bCs/>
        </w:rPr>
        <w:t>Promoting stable growth</w:t>
      </w:r>
      <w:r w:rsidRPr="00102C73">
        <w:t>: By providing the polices that encourage a stable growth in the FMCG companies can lead to more predictable financial performances by these companies which will reduce the share price volatility.</w:t>
      </w:r>
    </w:p>
    <w:p w:rsidR="002600A4" w:rsidRPr="00E25DA5" w:rsidRDefault="002600A4" w:rsidP="002600A4">
      <w:pPr>
        <w:spacing w:line="360" w:lineRule="auto"/>
        <w:jc w:val="both"/>
        <w:rPr>
          <w:sz w:val="28"/>
          <w:szCs w:val="28"/>
        </w:rPr>
      </w:pPr>
    </w:p>
    <w:p w:rsidR="002600A4" w:rsidRPr="00007F3D" w:rsidRDefault="002600A4" w:rsidP="002600A4">
      <w:pPr>
        <w:pStyle w:val="ListParagraph"/>
        <w:rPr>
          <w:b/>
          <w:bCs/>
          <w:sz w:val="28"/>
          <w:szCs w:val="28"/>
        </w:rPr>
      </w:pPr>
    </w:p>
    <w:p w:rsidR="002600A4" w:rsidRDefault="002600A4" w:rsidP="002600A4">
      <w:pPr>
        <w:pStyle w:val="ListParagraph"/>
        <w:tabs>
          <w:tab w:val="left" w:pos="1234"/>
        </w:tabs>
        <w:spacing w:line="360" w:lineRule="auto"/>
        <w:rPr>
          <w:b/>
          <w:bCs/>
        </w:rPr>
      </w:pPr>
    </w:p>
    <w:p w:rsidR="002600A4" w:rsidRDefault="002600A4" w:rsidP="002600A4">
      <w:pPr>
        <w:pStyle w:val="ListParagraph"/>
        <w:tabs>
          <w:tab w:val="left" w:pos="1234"/>
        </w:tabs>
        <w:spacing w:line="360" w:lineRule="auto"/>
        <w:rPr>
          <w:b/>
          <w:bCs/>
        </w:rPr>
      </w:pPr>
    </w:p>
    <w:p w:rsidR="002600A4" w:rsidRDefault="002600A4" w:rsidP="002600A4">
      <w:pPr>
        <w:pStyle w:val="ListParagraph"/>
        <w:tabs>
          <w:tab w:val="left" w:pos="1234"/>
        </w:tabs>
        <w:spacing w:line="360" w:lineRule="auto"/>
        <w:rPr>
          <w:b/>
          <w:bCs/>
        </w:rPr>
      </w:pPr>
    </w:p>
    <w:p w:rsidR="002600A4" w:rsidRDefault="002600A4" w:rsidP="002600A4">
      <w:pPr>
        <w:pStyle w:val="ListParagraph"/>
        <w:tabs>
          <w:tab w:val="left" w:pos="1234"/>
        </w:tabs>
        <w:spacing w:line="360" w:lineRule="auto"/>
        <w:rPr>
          <w:b/>
          <w:bCs/>
        </w:rPr>
      </w:pPr>
    </w:p>
    <w:p w:rsidR="002600A4" w:rsidRDefault="002600A4" w:rsidP="002600A4">
      <w:pPr>
        <w:tabs>
          <w:tab w:val="left" w:pos="1234"/>
        </w:tabs>
        <w:spacing w:line="360" w:lineRule="auto"/>
        <w:rPr>
          <w:b/>
          <w:bCs/>
        </w:rPr>
      </w:pPr>
    </w:p>
    <w:p w:rsidR="002600A4" w:rsidRDefault="002600A4" w:rsidP="002600A4">
      <w:pPr>
        <w:tabs>
          <w:tab w:val="left" w:pos="1234"/>
        </w:tabs>
        <w:spacing w:line="360" w:lineRule="auto"/>
        <w:rPr>
          <w:b/>
          <w:bCs/>
        </w:rPr>
      </w:pPr>
    </w:p>
    <w:p w:rsidR="002600A4" w:rsidRDefault="002600A4" w:rsidP="002600A4">
      <w:pPr>
        <w:tabs>
          <w:tab w:val="left" w:pos="1234"/>
        </w:tabs>
        <w:spacing w:line="360" w:lineRule="auto"/>
        <w:rPr>
          <w:b/>
          <w:bCs/>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2600A4" w:rsidRDefault="002600A4" w:rsidP="00CC1499">
      <w:pPr>
        <w:jc w:val="center"/>
        <w:rPr>
          <w:b/>
          <w:bCs/>
          <w:sz w:val="32"/>
          <w:szCs w:val="32"/>
        </w:rPr>
      </w:pPr>
    </w:p>
    <w:p w:rsidR="00CC1499" w:rsidRDefault="00CC1499" w:rsidP="00CC1499">
      <w:pPr>
        <w:jc w:val="center"/>
        <w:rPr>
          <w:b/>
          <w:bCs/>
          <w:sz w:val="32"/>
          <w:szCs w:val="32"/>
        </w:rPr>
      </w:pPr>
    </w:p>
    <w:p w:rsidR="00CC1499" w:rsidRDefault="00CC1499" w:rsidP="00CC1499">
      <w:pPr>
        <w:jc w:val="center"/>
        <w:rPr>
          <w:b/>
          <w:bCs/>
          <w:sz w:val="32"/>
          <w:szCs w:val="32"/>
        </w:rPr>
      </w:pPr>
    </w:p>
    <w:p w:rsidR="00CC1499" w:rsidRDefault="001975E3" w:rsidP="00CC1499">
      <w:pPr>
        <w:jc w:val="center"/>
        <w:rPr>
          <w:b/>
          <w:bCs/>
          <w:sz w:val="32"/>
          <w:szCs w:val="32"/>
        </w:rPr>
      </w:pPr>
      <w:r>
        <w:rPr>
          <w:b/>
          <w:bCs/>
          <w:sz w:val="32"/>
          <w:szCs w:val="32"/>
        </w:rPr>
        <w:t>BIBLIOGRAPHY</w:t>
      </w: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1975E3" w:rsidRDefault="001975E3" w:rsidP="00CC1499">
      <w:pPr>
        <w:jc w:val="center"/>
        <w:rPr>
          <w:b/>
          <w:bCs/>
          <w:sz w:val="32"/>
          <w:szCs w:val="32"/>
        </w:rPr>
      </w:pPr>
    </w:p>
    <w:p w:rsidR="00311455" w:rsidRDefault="00311455" w:rsidP="00CC1499">
      <w:pPr>
        <w:jc w:val="center"/>
        <w:rPr>
          <w:b/>
          <w:bCs/>
          <w:sz w:val="32"/>
          <w:szCs w:val="32"/>
        </w:rPr>
      </w:pPr>
    </w:p>
    <w:p w:rsidR="002423EC" w:rsidRDefault="002423EC" w:rsidP="00CC1499">
      <w:pPr>
        <w:jc w:val="center"/>
        <w:rPr>
          <w:b/>
          <w:bCs/>
          <w:sz w:val="32"/>
          <w:szCs w:val="32"/>
        </w:rPr>
      </w:pPr>
    </w:p>
    <w:p w:rsidR="002600A4" w:rsidRDefault="002600A4" w:rsidP="00CC1499">
      <w:pPr>
        <w:jc w:val="center"/>
        <w:rPr>
          <w:b/>
          <w:bCs/>
          <w:sz w:val="32"/>
          <w:szCs w:val="32"/>
        </w:rPr>
      </w:pPr>
    </w:p>
    <w:p w:rsidR="002600A4" w:rsidRDefault="002600A4" w:rsidP="00CC1499">
      <w:pPr>
        <w:jc w:val="center"/>
        <w:rPr>
          <w:b/>
          <w:bCs/>
          <w:sz w:val="32"/>
          <w:szCs w:val="32"/>
        </w:rPr>
      </w:pPr>
    </w:p>
    <w:p w:rsidR="00311455" w:rsidRDefault="00311455" w:rsidP="00CC1499">
      <w:pPr>
        <w:jc w:val="center"/>
        <w:rPr>
          <w:b/>
          <w:bCs/>
          <w:sz w:val="32"/>
          <w:szCs w:val="32"/>
        </w:rPr>
      </w:pPr>
    </w:p>
    <w:p w:rsidR="001975E3" w:rsidRDefault="001975E3" w:rsidP="001975E3">
      <w:pPr>
        <w:rPr>
          <w:b/>
          <w:bCs/>
          <w:sz w:val="28"/>
          <w:szCs w:val="28"/>
        </w:rPr>
      </w:pPr>
      <w:r>
        <w:rPr>
          <w:b/>
          <w:bCs/>
          <w:sz w:val="28"/>
          <w:szCs w:val="28"/>
        </w:rPr>
        <w:lastRenderedPageBreak/>
        <w:t>References :</w:t>
      </w:r>
    </w:p>
    <w:p w:rsidR="009921C1" w:rsidRPr="009921C1" w:rsidRDefault="00674B2E" w:rsidP="009921C1">
      <w:pPr>
        <w:pStyle w:val="ListParagraph"/>
        <w:numPr>
          <w:ilvl w:val="0"/>
          <w:numId w:val="2"/>
        </w:numPr>
        <w:spacing w:before="360" w:after="360" w:line="240" w:lineRule="auto"/>
        <w:rPr>
          <w:rFonts w:eastAsia="Times New Roman"/>
          <w:kern w:val="0"/>
          <w:lang w:eastAsia="en-IN"/>
        </w:rPr>
      </w:pPr>
      <w:r w:rsidRPr="00674B2E">
        <w:rPr>
          <w:color w:val="222222"/>
          <w:shd w:val="clear" w:color="auto" w:fill="FFFFFF"/>
        </w:rPr>
        <w:t>Dhingra, R., Dev, K., &amp; Gupta, M. (2018). Performance Analysis of FMCG Sector in India. International Journal of Business Analytics and Intelligence, 6(2), 12</w:t>
      </w:r>
    </w:p>
    <w:p w:rsidR="009921C1" w:rsidRPr="009921C1" w:rsidRDefault="009921C1" w:rsidP="009921C1">
      <w:pPr>
        <w:pStyle w:val="ListParagraph"/>
        <w:spacing w:before="360" w:after="360" w:line="240" w:lineRule="auto"/>
        <w:ind w:left="786"/>
        <w:rPr>
          <w:rFonts w:eastAsia="Times New Roman"/>
          <w:kern w:val="0"/>
          <w:lang w:eastAsia="en-IN"/>
        </w:rPr>
      </w:pPr>
    </w:p>
    <w:p w:rsidR="001266B8" w:rsidRPr="009921C1" w:rsidRDefault="009921C1" w:rsidP="009921C1">
      <w:pPr>
        <w:pStyle w:val="ListParagraph"/>
        <w:numPr>
          <w:ilvl w:val="0"/>
          <w:numId w:val="2"/>
        </w:numPr>
        <w:spacing w:before="360" w:after="360" w:line="240" w:lineRule="auto"/>
        <w:rPr>
          <w:rFonts w:eastAsia="Times New Roman"/>
          <w:kern w:val="0"/>
          <w:lang w:eastAsia="en-IN"/>
        </w:rPr>
      </w:pPr>
      <w:bookmarkStart w:id="26" w:name="_Hlk161482132"/>
      <w:r w:rsidRPr="009921C1">
        <w:rPr>
          <w:color w:val="222222"/>
          <w:shd w:val="clear" w:color="auto" w:fill="FFFFFF"/>
        </w:rPr>
        <w:t>Gangil, R., &amp; Nathani, N. (2018). Determinants of dividend policy: A study of FMCG sector in India. IOSR Journal of Business and Management, 20(2), 40-46.</w:t>
      </w:r>
      <w:r w:rsidR="00674B2E" w:rsidRPr="009921C1">
        <w:rPr>
          <w:color w:val="222222"/>
          <w:shd w:val="clear" w:color="auto" w:fill="FFFFFF"/>
        </w:rPr>
        <w:t>.</w:t>
      </w:r>
    </w:p>
    <w:bookmarkEnd w:id="26"/>
    <w:p w:rsidR="00771628" w:rsidRPr="00771628" w:rsidRDefault="00771628" w:rsidP="00771628">
      <w:pPr>
        <w:numPr>
          <w:ilvl w:val="0"/>
          <w:numId w:val="2"/>
        </w:numPr>
        <w:spacing w:before="360" w:after="360" w:line="240" w:lineRule="auto"/>
        <w:rPr>
          <w:rFonts w:eastAsia="Times New Roman"/>
          <w:kern w:val="0"/>
          <w:lang w:eastAsia="en-IN"/>
        </w:rPr>
      </w:pPr>
      <w:r>
        <w:t>E.F. Brigham’s and J.F. Houston’s, “Fundamentals of Financial Management”, 12th Edition, South Western College Pub, 2009</w:t>
      </w:r>
    </w:p>
    <w:p w:rsidR="00771628" w:rsidRPr="00771628" w:rsidRDefault="002D5DA5" w:rsidP="00771628">
      <w:pPr>
        <w:numPr>
          <w:ilvl w:val="0"/>
          <w:numId w:val="2"/>
        </w:numPr>
        <w:spacing w:before="360" w:after="360" w:line="240" w:lineRule="auto"/>
        <w:rPr>
          <w:rFonts w:eastAsia="Times New Roman"/>
          <w:kern w:val="0"/>
          <w:lang w:eastAsia="en-IN"/>
        </w:rPr>
      </w:pPr>
      <w:r>
        <w:t>D. H. Kantilal, “Financial Analysis of Selected Pharmaceutical companies in India with Special Reference to Gross Profit to Sales Ratio”, Indian Journal of Applied Research, Vol. 2, No. 2, pp. 5-6, 2012</w:t>
      </w:r>
    </w:p>
    <w:p w:rsidR="001266B8" w:rsidRPr="00EA09D2" w:rsidRDefault="001266B8" w:rsidP="001266B8">
      <w:pPr>
        <w:numPr>
          <w:ilvl w:val="0"/>
          <w:numId w:val="2"/>
        </w:numPr>
        <w:spacing w:before="360" w:after="360" w:line="240" w:lineRule="auto"/>
        <w:rPr>
          <w:rFonts w:eastAsia="Times New Roman"/>
          <w:kern w:val="0"/>
          <w:lang w:eastAsia="en-IN"/>
        </w:rPr>
      </w:pPr>
      <w:r w:rsidRPr="00EA09D2">
        <w:t>Ranjit , K. P. (2013). Analysis of Solvency of Selected FMCG Companies in India. Global Journal of Management &amp;Bussiness Studies, 3(4), 401-406. 2.</w:t>
      </w:r>
    </w:p>
    <w:p w:rsidR="001266B8" w:rsidRPr="00EA09D2" w:rsidRDefault="001266B8" w:rsidP="001266B8">
      <w:pPr>
        <w:numPr>
          <w:ilvl w:val="0"/>
          <w:numId w:val="2"/>
        </w:numPr>
        <w:spacing w:before="360" w:after="360" w:line="240" w:lineRule="auto"/>
        <w:rPr>
          <w:rFonts w:eastAsia="Times New Roman"/>
          <w:kern w:val="0"/>
          <w:lang w:eastAsia="en-IN"/>
        </w:rPr>
      </w:pPr>
      <w:r w:rsidRPr="00EA09D2">
        <w:t>Aarti, g. (2015, December). Profitability Analysis of FMCG Sector. International Journal of Bussiness Management and Scientific Research, 9. 3.</w:t>
      </w:r>
    </w:p>
    <w:p w:rsidR="001266B8" w:rsidRPr="00EA09D2" w:rsidRDefault="001266B8" w:rsidP="001266B8">
      <w:pPr>
        <w:numPr>
          <w:ilvl w:val="0"/>
          <w:numId w:val="2"/>
        </w:numPr>
        <w:spacing w:before="360" w:after="360" w:line="240" w:lineRule="auto"/>
        <w:rPr>
          <w:rFonts w:eastAsia="Times New Roman"/>
          <w:kern w:val="0"/>
          <w:lang w:eastAsia="en-IN"/>
        </w:rPr>
      </w:pPr>
      <w:r w:rsidRPr="00EA09D2">
        <w:t>Sahu, R. K. (2002). Asimplified model for liquidity analysis of paper companies. MANAGEMENT ACCOUNTANT-CALCUTTA-, 37(11), 805- 808.</w:t>
      </w:r>
    </w:p>
    <w:p w:rsidR="001266B8" w:rsidRPr="00EA09D2" w:rsidRDefault="001266B8" w:rsidP="001266B8">
      <w:pPr>
        <w:numPr>
          <w:ilvl w:val="0"/>
          <w:numId w:val="2"/>
        </w:numPr>
        <w:spacing w:before="360" w:after="360" w:line="240" w:lineRule="auto"/>
        <w:rPr>
          <w:rFonts w:eastAsia="Times New Roman"/>
          <w:kern w:val="0"/>
          <w:lang w:eastAsia="en-IN"/>
        </w:rPr>
      </w:pPr>
      <w:r w:rsidRPr="00EA09D2">
        <w:t>Dr. Pramod H. Patil, Assistant Professor, School of Management Sciences, Sub-centre Latur, Volume:5, Issue:2, February 2016,</w:t>
      </w:r>
    </w:p>
    <w:p w:rsidR="00810DCD" w:rsidRPr="002D5DA5" w:rsidRDefault="00810DCD" w:rsidP="00964638">
      <w:pPr>
        <w:numPr>
          <w:ilvl w:val="0"/>
          <w:numId w:val="2"/>
        </w:numPr>
        <w:shd w:val="clear" w:color="auto" w:fill="FFFFFF"/>
        <w:spacing w:before="100" w:beforeAutospacing="1" w:after="150" w:line="240" w:lineRule="auto"/>
        <w:rPr>
          <w:rFonts w:eastAsia="Times New Roman"/>
          <w:kern w:val="0"/>
          <w:lang w:eastAsia="en-IN"/>
        </w:rPr>
      </w:pPr>
      <w:r>
        <w:t>Gurmeet Singh, “Interrelation Between Capital Structure And Profitability Of FMCG Companies Of India”, International Journal of Accounting and Financial Management Research (IJAFMR) ISSN(P): 2249-6882; ISSN(E): 2249-7994 Vol. 4, Issue 3, Jun 2014, 51-58 © TJPRC Pvt. Ltd</w:t>
      </w:r>
    </w:p>
    <w:p w:rsidR="00371597" w:rsidRPr="00EA09D2" w:rsidRDefault="00371597" w:rsidP="00371597">
      <w:pPr>
        <w:numPr>
          <w:ilvl w:val="0"/>
          <w:numId w:val="2"/>
        </w:numPr>
        <w:shd w:val="clear" w:color="auto" w:fill="FFFFFF"/>
        <w:spacing w:before="100" w:beforeAutospacing="1" w:after="150" w:line="240" w:lineRule="auto"/>
        <w:rPr>
          <w:rFonts w:eastAsia="Times New Roman"/>
          <w:kern w:val="0"/>
          <w:lang w:eastAsia="en-IN"/>
        </w:rPr>
      </w:pPr>
      <w:r w:rsidRPr="00EA09D2">
        <w:rPr>
          <w:rFonts w:eastAsia="Times New Roman"/>
          <w:kern w:val="0"/>
          <w:lang w:eastAsia="en-IN"/>
        </w:rPr>
        <w:t>Agyemang, D., &amp; Asiamah, S. (2014). The relationship between quarterly earnings announcements and stock prices in the Ghanaian FMCG sector. International Journal of Economics and Finance, 6(8), 96.</w:t>
      </w:r>
    </w:p>
    <w:p w:rsidR="00371597" w:rsidRPr="00EA09D2" w:rsidRDefault="00371597" w:rsidP="00371597">
      <w:pPr>
        <w:numPr>
          <w:ilvl w:val="0"/>
          <w:numId w:val="2"/>
        </w:numPr>
        <w:shd w:val="clear" w:color="auto" w:fill="FFFFFF"/>
        <w:spacing w:before="100" w:beforeAutospacing="1" w:after="150" w:line="240" w:lineRule="auto"/>
        <w:rPr>
          <w:rFonts w:eastAsia="Times New Roman"/>
          <w:kern w:val="0"/>
          <w:lang w:eastAsia="en-IN"/>
        </w:rPr>
      </w:pPr>
      <w:r w:rsidRPr="00EA09D2">
        <w:rPr>
          <w:rFonts w:eastAsia="Times New Roman"/>
          <w:kern w:val="0"/>
          <w:lang w:eastAsia="en-IN"/>
        </w:rPr>
        <w:t>Kumar, T., &amp; Sharma, S. (2018). The impact of quarterly earnings announcements on stock prices of Indian FMCG companies. International Journal of Research in Financial Management, 9(4), 129-143.</w:t>
      </w:r>
    </w:p>
    <w:p w:rsidR="001266B8" w:rsidRPr="00EA09D2" w:rsidRDefault="00371597" w:rsidP="001266B8">
      <w:pPr>
        <w:numPr>
          <w:ilvl w:val="0"/>
          <w:numId w:val="2"/>
        </w:numPr>
        <w:spacing w:before="360" w:after="360" w:line="240" w:lineRule="auto"/>
        <w:rPr>
          <w:rFonts w:eastAsia="Times New Roman"/>
          <w:kern w:val="0"/>
          <w:lang w:eastAsia="en-IN"/>
        </w:rPr>
      </w:pPr>
      <w:r w:rsidRPr="00EA09D2">
        <w:rPr>
          <w:rFonts w:eastAsia="Times New Roman"/>
          <w:kern w:val="0"/>
          <w:lang w:eastAsia="en-IN"/>
        </w:rPr>
        <w:t>Alam, M. M., &amp; Shams, M. M. (2019). Impact of quarterly earnings announcements on stock returns of FMCG companies in Bangladesh. Journal of International Business and Economics, 10(2), 167-175</w:t>
      </w:r>
    </w:p>
    <w:p w:rsidR="00E03EA1" w:rsidRPr="00EA09D2" w:rsidRDefault="00A70C41" w:rsidP="00E03EA1">
      <w:pPr>
        <w:numPr>
          <w:ilvl w:val="0"/>
          <w:numId w:val="2"/>
        </w:numPr>
        <w:shd w:val="clear" w:color="auto" w:fill="FFFFFF"/>
        <w:spacing w:before="100" w:beforeAutospacing="1" w:after="150" w:line="240" w:lineRule="auto"/>
        <w:rPr>
          <w:rFonts w:eastAsia="Times New Roman"/>
          <w:kern w:val="0"/>
          <w:lang w:eastAsia="en-IN"/>
        </w:rPr>
      </w:pPr>
      <w:r w:rsidRPr="00EA09D2">
        <w:rPr>
          <w:rFonts w:eastAsia="Times New Roman"/>
          <w:kern w:val="0"/>
          <w:lang w:eastAsia="en-IN"/>
        </w:rPr>
        <w:lastRenderedPageBreak/>
        <w:t>Khanna, R., &amp; Jain, S. (2017). Market sentiment and the relationship between quarterly earnings announcements and stock prices of FMCG companies in India. Journal of Financial Markets and Portfolio Management, 3(1), 4</w:t>
      </w:r>
    </w:p>
    <w:p w:rsidR="00E03EA1" w:rsidRPr="00EA09D2" w:rsidRDefault="00E03EA1" w:rsidP="00E03EA1">
      <w:pPr>
        <w:numPr>
          <w:ilvl w:val="0"/>
          <w:numId w:val="2"/>
        </w:numPr>
        <w:shd w:val="clear" w:color="auto" w:fill="FFFFFF"/>
        <w:spacing w:before="100" w:beforeAutospacing="1" w:after="150" w:line="240" w:lineRule="auto"/>
        <w:rPr>
          <w:rFonts w:eastAsia="Times New Roman"/>
          <w:kern w:val="0"/>
          <w:lang w:eastAsia="en-IN"/>
        </w:rPr>
      </w:pPr>
      <w:bookmarkStart w:id="27" w:name="_Hlk161400279"/>
      <w:r w:rsidRPr="00EA09D2">
        <w:rPr>
          <w:lang w:eastAsia="en-IN"/>
        </w:rPr>
        <w:t>Amsaveni R, Gomathi S,   Fundamental Analysis of Selected FMCG Companies in India</w:t>
      </w:r>
      <w:bookmarkStart w:id="28" w:name="_Hlk161399729"/>
      <w:bookmarkEnd w:id="27"/>
      <w:r w:rsidR="007420DD" w:rsidRPr="00EA09D2">
        <w:rPr>
          <w:lang w:eastAsia="en-IN"/>
        </w:rPr>
        <w:fldChar w:fldCharType="begin"/>
      </w:r>
      <w:r w:rsidRPr="00EA09D2">
        <w:rPr>
          <w:lang w:eastAsia="en-IN"/>
        </w:rPr>
        <w:instrText>HYPERLINK "https://www.proquest.com/openview/f4112d923036ced8d936ec37a764b119/1?pq-origsite=gscholar&amp;cbl=2029983"</w:instrText>
      </w:r>
      <w:r w:rsidR="007420DD" w:rsidRPr="00EA09D2">
        <w:rPr>
          <w:lang w:eastAsia="en-IN"/>
        </w:rPr>
        <w:fldChar w:fldCharType="separate"/>
      </w:r>
      <w:r w:rsidRPr="00EA09D2">
        <w:rPr>
          <w:lang w:eastAsia="en-IN"/>
        </w:rPr>
        <w:t>Asia - Pacific Finance and Accounting ReviewNew Delhi</w:t>
      </w:r>
      <w:hyperlink r:id="rId38" w:tooltip="Click to search for more items from this issue" w:history="1">
        <w:r w:rsidRPr="00EA09D2">
          <w:rPr>
            <w:u w:val="single"/>
            <w:lang w:eastAsia="en-IN"/>
          </w:rPr>
          <w:t> </w:t>
        </w:r>
        <w:r w:rsidRPr="00EA09D2">
          <w:rPr>
            <w:lang w:eastAsia="en-IN"/>
          </w:rPr>
          <w:t xml:space="preserve"> Vol. 1, Iss. 3, </w:t>
        </w:r>
      </w:hyperlink>
      <w:r w:rsidRPr="00EA09D2">
        <w:rPr>
          <w:lang w:eastAsia="en-IN"/>
        </w:rPr>
        <w:t> (Apr-Jun 2013): 37-55.</w:t>
      </w:r>
    </w:p>
    <w:p w:rsidR="00195F94" w:rsidRPr="00195F94" w:rsidRDefault="007420DD" w:rsidP="00195F94">
      <w:pPr>
        <w:pStyle w:val="ListParagraph"/>
        <w:numPr>
          <w:ilvl w:val="0"/>
          <w:numId w:val="2"/>
        </w:numPr>
        <w:rPr>
          <w:lang w:eastAsia="en-IN"/>
        </w:rPr>
      </w:pPr>
      <w:r w:rsidRPr="00EA09D2">
        <w:rPr>
          <w:lang w:eastAsia="en-IN"/>
        </w:rPr>
        <w:fldChar w:fldCharType="end"/>
      </w:r>
      <w:bookmarkStart w:id="29" w:name="_Hlk161400835"/>
      <w:r w:rsidR="00BC281B" w:rsidRPr="00EA09D2">
        <w:rPr>
          <w:shd w:val="clear" w:color="auto" w:fill="FFFFFF"/>
        </w:rPr>
        <w:t>Shukla, H. J. (2009). Corporate governance and Indian FMCG industry</w:t>
      </w:r>
      <w:bookmarkEnd w:id="29"/>
      <w:r w:rsidR="00BC281B" w:rsidRPr="00EA09D2">
        <w:rPr>
          <w:shd w:val="clear" w:color="auto" w:fill="FFFFFF"/>
        </w:rPr>
        <w:t>. IUP Journal of Corporate Governance, 8(1), 43.</w:t>
      </w:r>
      <w:bookmarkStart w:id="30" w:name="_Hlk161400960"/>
    </w:p>
    <w:p w:rsidR="00195F94" w:rsidRPr="00195F94" w:rsidRDefault="00195F94" w:rsidP="00195F94">
      <w:pPr>
        <w:pStyle w:val="ListParagraph"/>
        <w:ind w:left="786"/>
        <w:rPr>
          <w:lang w:eastAsia="en-IN"/>
        </w:rPr>
      </w:pPr>
    </w:p>
    <w:p w:rsidR="00195F94" w:rsidRPr="00195F94" w:rsidRDefault="00BE2C1C" w:rsidP="00195F94">
      <w:pPr>
        <w:pStyle w:val="ListParagraph"/>
        <w:numPr>
          <w:ilvl w:val="0"/>
          <w:numId w:val="2"/>
        </w:numPr>
        <w:rPr>
          <w:lang w:eastAsia="en-IN"/>
        </w:rPr>
      </w:pPr>
      <w:r w:rsidRPr="00195F94">
        <w:rPr>
          <w:shd w:val="clear" w:color="auto" w:fill="FFFFFF"/>
        </w:rPr>
        <w:t>Jones, C. P., &amp; Litzenberger, R. H. (1970). Quarterly earnings reports and intermediate stock price trends. </w:t>
      </w:r>
      <w:bookmarkEnd w:id="30"/>
      <w:r w:rsidRPr="00195F94">
        <w:rPr>
          <w:i/>
          <w:iCs/>
          <w:shd w:val="clear" w:color="auto" w:fill="FFFFFF"/>
        </w:rPr>
        <w:t>The Journal of Finance</w:t>
      </w:r>
      <w:r w:rsidRPr="00195F94">
        <w:rPr>
          <w:shd w:val="clear" w:color="auto" w:fill="FFFFFF"/>
        </w:rPr>
        <w:t>, </w:t>
      </w:r>
      <w:r w:rsidRPr="00195F94">
        <w:rPr>
          <w:i/>
          <w:iCs/>
          <w:shd w:val="clear" w:color="auto" w:fill="FFFFFF"/>
        </w:rPr>
        <w:t>25</w:t>
      </w:r>
      <w:r w:rsidRPr="00195F94">
        <w:rPr>
          <w:shd w:val="clear" w:color="auto" w:fill="FFFFFF"/>
        </w:rPr>
        <w:t>(1), 143-148.</w:t>
      </w:r>
    </w:p>
    <w:p w:rsidR="00195F94" w:rsidRPr="00195F94" w:rsidRDefault="00195F94" w:rsidP="00195F94">
      <w:pPr>
        <w:pStyle w:val="ListParagraph"/>
        <w:rPr>
          <w:shd w:val="clear" w:color="auto" w:fill="FFFFFF"/>
        </w:rPr>
      </w:pPr>
    </w:p>
    <w:p w:rsidR="00195F94" w:rsidRPr="00195F94" w:rsidRDefault="003A2633" w:rsidP="00195F94">
      <w:pPr>
        <w:pStyle w:val="ListParagraph"/>
        <w:numPr>
          <w:ilvl w:val="0"/>
          <w:numId w:val="2"/>
        </w:numPr>
        <w:rPr>
          <w:lang w:eastAsia="en-IN"/>
        </w:rPr>
      </w:pPr>
      <w:r w:rsidRPr="00195F94">
        <w:rPr>
          <w:shd w:val="clear" w:color="auto" w:fill="FFFFFF"/>
        </w:rPr>
        <w:t>Das, S., Shroff, P. K., &amp; Zhang, H. (2009). Quarterly earnings patterns and earnings management. </w:t>
      </w:r>
      <w:r w:rsidRPr="00195F94">
        <w:rPr>
          <w:i/>
          <w:iCs/>
          <w:shd w:val="clear" w:color="auto" w:fill="FFFFFF"/>
        </w:rPr>
        <w:t>Contemporary accounting research</w:t>
      </w:r>
      <w:r w:rsidRPr="00195F94">
        <w:rPr>
          <w:shd w:val="clear" w:color="auto" w:fill="FFFFFF"/>
        </w:rPr>
        <w:t>, </w:t>
      </w:r>
      <w:r w:rsidRPr="00195F94">
        <w:rPr>
          <w:i/>
          <w:iCs/>
          <w:shd w:val="clear" w:color="auto" w:fill="FFFFFF"/>
        </w:rPr>
        <w:t>26</w:t>
      </w:r>
      <w:r w:rsidRPr="00195F94">
        <w:rPr>
          <w:shd w:val="clear" w:color="auto" w:fill="FFFFFF"/>
        </w:rPr>
        <w:t>(3), 797-831.</w:t>
      </w:r>
    </w:p>
    <w:p w:rsidR="00195F94" w:rsidRPr="00195F94" w:rsidRDefault="00195F94" w:rsidP="00195F94">
      <w:pPr>
        <w:pStyle w:val="ListParagraph"/>
        <w:rPr>
          <w:shd w:val="clear" w:color="auto" w:fill="FFFFFF"/>
        </w:rPr>
      </w:pPr>
    </w:p>
    <w:p w:rsidR="00195F94" w:rsidRPr="00195F94" w:rsidRDefault="003A2633" w:rsidP="00195F94">
      <w:pPr>
        <w:pStyle w:val="ListParagraph"/>
        <w:numPr>
          <w:ilvl w:val="0"/>
          <w:numId w:val="2"/>
        </w:numPr>
        <w:rPr>
          <w:lang w:eastAsia="en-IN"/>
        </w:rPr>
      </w:pPr>
      <w:r w:rsidRPr="00195F94">
        <w:rPr>
          <w:shd w:val="clear" w:color="auto" w:fill="FFFFFF"/>
        </w:rPr>
        <w:t>Kumar, J. (2004). Share holding pattern and Firm Performance. </w:t>
      </w:r>
      <w:r w:rsidRPr="00195F94">
        <w:rPr>
          <w:i/>
          <w:iCs/>
          <w:shd w:val="clear" w:color="auto" w:fill="FFFFFF"/>
        </w:rPr>
        <w:t>Indira Gandhi Institute of Development Research, Mumbai</w:t>
      </w:r>
      <w:r w:rsidRPr="00195F94">
        <w:rPr>
          <w:shd w:val="clear" w:color="auto" w:fill="FFFFFF"/>
        </w:rPr>
        <w:t>, </w:t>
      </w:r>
      <w:r w:rsidRPr="00195F94">
        <w:rPr>
          <w:i/>
          <w:iCs/>
          <w:shd w:val="clear" w:color="auto" w:fill="FFFFFF"/>
        </w:rPr>
        <w:t>200</w:t>
      </w:r>
      <w:r w:rsidRPr="00195F94">
        <w:rPr>
          <w:shd w:val="clear" w:color="auto" w:fill="FFFFFF"/>
        </w:rPr>
        <w:t>(3).</w:t>
      </w:r>
    </w:p>
    <w:p w:rsidR="00195F94" w:rsidRPr="00195F94" w:rsidRDefault="00195F94" w:rsidP="00195F94">
      <w:pPr>
        <w:pStyle w:val="ListParagraph"/>
        <w:rPr>
          <w:shd w:val="clear" w:color="auto" w:fill="FFFFFF"/>
        </w:rPr>
      </w:pPr>
    </w:p>
    <w:p w:rsidR="00195F94" w:rsidRPr="00195F94" w:rsidRDefault="00EA09D2" w:rsidP="00195F94">
      <w:pPr>
        <w:pStyle w:val="ListParagraph"/>
        <w:numPr>
          <w:ilvl w:val="0"/>
          <w:numId w:val="2"/>
        </w:numPr>
        <w:rPr>
          <w:lang w:eastAsia="en-IN"/>
        </w:rPr>
      </w:pPr>
      <w:r w:rsidRPr="00195F94">
        <w:rPr>
          <w:shd w:val="clear" w:color="auto" w:fill="FFFFFF"/>
        </w:rPr>
        <w:t>Rajesh, M., &amp; Bhaskar, K. (2015). Impact of fundamental factors on share price movements-A study on select listed companies of Indian manufacturing industries in Bombay Stock Exchange. </w:t>
      </w:r>
      <w:r w:rsidRPr="00195F94">
        <w:rPr>
          <w:i/>
          <w:iCs/>
          <w:shd w:val="clear" w:color="auto" w:fill="FFFFFF"/>
        </w:rPr>
        <w:t>Indian Journal of Applied Research</w:t>
      </w:r>
      <w:r w:rsidRPr="00195F94">
        <w:rPr>
          <w:shd w:val="clear" w:color="auto" w:fill="FFFFFF"/>
        </w:rPr>
        <w:t>, </w:t>
      </w:r>
      <w:r w:rsidRPr="00195F94">
        <w:rPr>
          <w:i/>
          <w:iCs/>
          <w:shd w:val="clear" w:color="auto" w:fill="FFFFFF"/>
        </w:rPr>
        <w:t>5</w:t>
      </w:r>
      <w:r w:rsidRPr="00195F94">
        <w:rPr>
          <w:shd w:val="clear" w:color="auto" w:fill="FFFFFF"/>
        </w:rPr>
        <w:t>(3), 208.</w:t>
      </w:r>
    </w:p>
    <w:p w:rsidR="00195F94" w:rsidRPr="00195F94" w:rsidRDefault="00195F94" w:rsidP="00195F94">
      <w:pPr>
        <w:pStyle w:val="ListParagraph"/>
        <w:rPr>
          <w:shd w:val="clear" w:color="auto" w:fill="FFFFFF"/>
        </w:rPr>
      </w:pPr>
    </w:p>
    <w:p w:rsidR="00EA09D2" w:rsidRPr="00195F94" w:rsidRDefault="00EA09D2" w:rsidP="00195F94">
      <w:pPr>
        <w:pStyle w:val="ListParagraph"/>
        <w:numPr>
          <w:ilvl w:val="0"/>
          <w:numId w:val="2"/>
        </w:numPr>
        <w:rPr>
          <w:lang w:eastAsia="en-IN"/>
        </w:rPr>
      </w:pPr>
      <w:r w:rsidRPr="00195F94">
        <w:rPr>
          <w:shd w:val="clear" w:color="auto" w:fill="FFFFFF"/>
        </w:rPr>
        <w:t>Dawar, V. (2012). Role of fundamental variables in explaining stock prices: Indian FMCG sector evidence. </w:t>
      </w:r>
      <w:r w:rsidRPr="00195F94">
        <w:rPr>
          <w:i/>
          <w:iCs/>
          <w:shd w:val="clear" w:color="auto" w:fill="FFFFFF"/>
        </w:rPr>
        <w:t>Researchers World</w:t>
      </w:r>
      <w:r w:rsidRPr="00195F94">
        <w:rPr>
          <w:shd w:val="clear" w:color="auto" w:fill="FFFFFF"/>
        </w:rPr>
        <w:t>, </w:t>
      </w:r>
      <w:r w:rsidRPr="00195F94">
        <w:rPr>
          <w:i/>
          <w:iCs/>
          <w:shd w:val="clear" w:color="auto" w:fill="FFFFFF"/>
        </w:rPr>
        <w:t>3</w:t>
      </w:r>
      <w:r w:rsidRPr="00195F94">
        <w:rPr>
          <w:shd w:val="clear" w:color="auto" w:fill="FFFFFF"/>
        </w:rPr>
        <w:t>(4), 56.</w:t>
      </w:r>
    </w:p>
    <w:p w:rsidR="00195F94" w:rsidRDefault="00195F94" w:rsidP="00195F94">
      <w:pPr>
        <w:pStyle w:val="ListParagraph"/>
        <w:rPr>
          <w:lang w:eastAsia="en-IN"/>
        </w:rPr>
      </w:pPr>
    </w:p>
    <w:p w:rsidR="00195F94" w:rsidRPr="00195F94" w:rsidRDefault="00195F94" w:rsidP="00195F94">
      <w:r w:rsidRPr="00195F94">
        <w:t>https://www.screener.in/</w:t>
      </w:r>
    </w:p>
    <w:p w:rsidR="00195F94" w:rsidRPr="00195F94" w:rsidRDefault="00195F94" w:rsidP="00195F94">
      <w:r w:rsidRPr="00195F94">
        <w:t>https://www.outlookindia.com</w:t>
      </w:r>
    </w:p>
    <w:p w:rsidR="00195F94" w:rsidRPr="00195F94" w:rsidRDefault="007420DD" w:rsidP="00195F94">
      <w:hyperlink r:id="rId39" w:history="1">
        <w:r w:rsidR="00195F94" w:rsidRPr="00195F94">
          <w:t>https://www.statista.com</w:t>
        </w:r>
      </w:hyperlink>
    </w:p>
    <w:p w:rsidR="00195F94" w:rsidRPr="00195F94" w:rsidRDefault="007420DD" w:rsidP="00195F94">
      <w:hyperlink r:id="rId40" w:history="1">
        <w:r w:rsidR="00195F94" w:rsidRPr="00195F94">
          <w:t>https://www.moneycontrol.com</w:t>
        </w:r>
      </w:hyperlink>
    </w:p>
    <w:p w:rsidR="00195F94" w:rsidRPr="00195F94" w:rsidRDefault="007420DD" w:rsidP="00195F94">
      <w:hyperlink r:id="rId41" w:history="1">
        <w:r w:rsidR="00195F94" w:rsidRPr="00195F94">
          <w:t>https://www.equitypandit.com/historical-data/HINDUNILVR</w:t>
        </w:r>
      </w:hyperlink>
    </w:p>
    <w:p w:rsidR="00195F94" w:rsidRPr="00195F94" w:rsidRDefault="007420DD" w:rsidP="00195F94">
      <w:hyperlink r:id="rId42" w:history="1">
        <w:r w:rsidR="00195F94" w:rsidRPr="00195F94">
          <w:rPr>
            <w:rStyle w:val="Hyperlink"/>
            <w:color w:val="auto"/>
            <w:u w:val="none"/>
          </w:rPr>
          <w:t>https://search.proquest.com/openview/24d6d49cb54678d0fa26cc6301e08598/1?pq-origsite=gscholar&amp;cbl=556342</w:t>
        </w:r>
      </w:hyperlink>
    </w:p>
    <w:p w:rsidR="00195F94" w:rsidRPr="00195F94" w:rsidRDefault="007420DD" w:rsidP="00195F94">
      <w:hyperlink r:id="rId43" w:history="1">
        <w:r w:rsidR="00195F94" w:rsidRPr="00195F94">
          <w:rPr>
            <w:rStyle w:val="Hyperlink"/>
            <w:color w:val="auto"/>
            <w:u w:val="none"/>
          </w:rPr>
          <w:t>https://search.proquest.com/openview/f4112d923036ced8d936ec37a764b119/1?pq-origsite=gscholar&amp;cbl=2029983</w:t>
        </w:r>
      </w:hyperlink>
    </w:p>
    <w:p w:rsidR="00195F94" w:rsidRPr="00195F94" w:rsidRDefault="007420DD" w:rsidP="00195F94">
      <w:hyperlink r:id="rId44" w:history="1">
        <w:r w:rsidR="00195F94" w:rsidRPr="00195F94">
          <w:rPr>
            <w:rStyle w:val="Hyperlink"/>
            <w:color w:val="auto"/>
            <w:u w:val="none"/>
          </w:rPr>
          <w:t>https://www.jstor.org/stable/2325806</w:t>
        </w:r>
      </w:hyperlink>
    </w:p>
    <w:p w:rsidR="00195F94" w:rsidRPr="00195F94" w:rsidRDefault="007420DD" w:rsidP="00195F94">
      <w:hyperlink r:id="rId45" w:history="1">
        <w:r w:rsidR="00195F94" w:rsidRPr="00195F94">
          <w:rPr>
            <w:rStyle w:val="Hyperlink"/>
            <w:color w:val="auto"/>
            <w:u w:val="none"/>
          </w:rPr>
          <w:t>https://www.academia.edu/download/40875722/THE_RELATIONSHIP_BETWEEN_DIVIDEND_POLICY_AND_SHAREHOLDERS_WEALTH_EVIDENCE_FROM_FMCG_SECTOR_IN_INDIA-2.pdf</w:t>
        </w:r>
      </w:hyperlink>
    </w:p>
    <w:p w:rsidR="00195F94" w:rsidRPr="00195F94" w:rsidRDefault="00195F94" w:rsidP="00195F94"/>
    <w:bookmarkEnd w:id="25"/>
    <w:p w:rsidR="00195F94" w:rsidRPr="00195F94" w:rsidRDefault="00195F94" w:rsidP="00195F94">
      <w:pPr>
        <w:pStyle w:val="ListParagraph"/>
        <w:ind w:left="786"/>
        <w:rPr>
          <w:lang w:eastAsia="en-IN"/>
        </w:rPr>
      </w:pPr>
    </w:p>
    <w:bookmarkEnd w:id="28"/>
    <w:p w:rsidR="001975E3" w:rsidRPr="00E03EA1" w:rsidRDefault="001975E3" w:rsidP="001975E3">
      <w:pPr>
        <w:rPr>
          <w:b/>
          <w:bCs/>
          <w:sz w:val="28"/>
          <w:szCs w:val="28"/>
        </w:rPr>
      </w:pPr>
    </w:p>
    <w:p w:rsidR="00CC1499" w:rsidRDefault="00CC1499" w:rsidP="00CC1499">
      <w:pPr>
        <w:jc w:val="center"/>
        <w:rPr>
          <w:b/>
          <w:bCs/>
          <w:sz w:val="32"/>
          <w:szCs w:val="32"/>
        </w:rPr>
      </w:pPr>
    </w:p>
    <w:sectPr w:rsidR="00CC1499" w:rsidSect="00EC4B31">
      <w:pgSz w:w="11906" w:h="16838"/>
      <w:pgMar w:top="1418" w:right="1418" w:bottom="1418" w:left="1985"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C23" w:rsidRDefault="003D5C23" w:rsidP="001D00E4">
      <w:pPr>
        <w:spacing w:after="0" w:line="240" w:lineRule="auto"/>
      </w:pPr>
      <w:r>
        <w:separator/>
      </w:r>
    </w:p>
  </w:endnote>
  <w:endnote w:type="continuationSeparator" w:id="1">
    <w:p w:rsidR="003D5C23" w:rsidRDefault="003D5C23" w:rsidP="001D0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C23" w:rsidRDefault="003D5C23" w:rsidP="001D00E4">
      <w:pPr>
        <w:spacing w:after="0" w:line="240" w:lineRule="auto"/>
      </w:pPr>
      <w:r>
        <w:separator/>
      </w:r>
    </w:p>
  </w:footnote>
  <w:footnote w:type="continuationSeparator" w:id="1">
    <w:p w:rsidR="003D5C23" w:rsidRDefault="003D5C23" w:rsidP="001D00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D0F"/>
    <w:multiLevelType w:val="multilevel"/>
    <w:tmpl w:val="8CEA5402"/>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4962953"/>
    <w:multiLevelType w:val="hybridMultilevel"/>
    <w:tmpl w:val="A6EE922C"/>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2">
    <w:nsid w:val="0BEB5EA9"/>
    <w:multiLevelType w:val="hybridMultilevel"/>
    <w:tmpl w:val="AD78693A"/>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3">
    <w:nsid w:val="0DBC12F4"/>
    <w:multiLevelType w:val="multilevel"/>
    <w:tmpl w:val="BDAE6CBC"/>
    <w:lvl w:ilvl="0">
      <w:start w:val="4"/>
      <w:numFmt w:val="decimal"/>
      <w:lvlText w:val="%1"/>
      <w:lvlJc w:val="left"/>
      <w:pPr>
        <w:ind w:left="576" w:hanging="576"/>
      </w:pPr>
      <w:rPr>
        <w:rFonts w:hint="default"/>
      </w:rPr>
    </w:lvl>
    <w:lvl w:ilvl="1">
      <w:start w:val="2"/>
      <w:numFmt w:val="decimal"/>
      <w:lvlText w:val="%1.%2"/>
      <w:lvlJc w:val="left"/>
      <w:pPr>
        <w:ind w:left="680" w:hanging="576"/>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4">
    <w:nsid w:val="0E562B4D"/>
    <w:multiLevelType w:val="multilevel"/>
    <w:tmpl w:val="236894CE"/>
    <w:lvl w:ilvl="0">
      <w:start w:val="1"/>
      <w:numFmt w:val="upperRoman"/>
      <w:lvlText w:val="%1."/>
      <w:lvlJc w:val="left"/>
      <w:pPr>
        <w:ind w:left="1080"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22D052B"/>
    <w:multiLevelType w:val="hybridMultilevel"/>
    <w:tmpl w:val="060C5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B80D5B"/>
    <w:multiLevelType w:val="multilevel"/>
    <w:tmpl w:val="DA4E7214"/>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8DF4BCE"/>
    <w:multiLevelType w:val="multilevel"/>
    <w:tmpl w:val="16446E86"/>
    <w:lvl w:ilvl="0">
      <w:start w:val="1"/>
      <w:numFmt w:val="decimal"/>
      <w:lvlText w:val="%1."/>
      <w:lvlJc w:val="left"/>
      <w:pPr>
        <w:ind w:left="108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nsid w:val="1C3259C2"/>
    <w:multiLevelType w:val="multilevel"/>
    <w:tmpl w:val="5786026C"/>
    <w:lvl w:ilvl="0">
      <w:start w:val="4"/>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100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671FB5"/>
    <w:multiLevelType w:val="multilevel"/>
    <w:tmpl w:val="1CAC5DC2"/>
    <w:lvl w:ilvl="0">
      <w:start w:val="4"/>
      <w:numFmt w:val="decimal"/>
      <w:lvlText w:val="%1"/>
      <w:lvlJc w:val="left"/>
      <w:pPr>
        <w:ind w:left="576" w:hanging="576"/>
      </w:pPr>
      <w:rPr>
        <w:rFonts w:hint="default"/>
      </w:rPr>
    </w:lvl>
    <w:lvl w:ilvl="1">
      <w:start w:val="2"/>
      <w:numFmt w:val="decimal"/>
      <w:lvlText w:val="%1.%2"/>
      <w:lvlJc w:val="left"/>
      <w:pPr>
        <w:ind w:left="680" w:hanging="576"/>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10">
    <w:nsid w:val="260C481C"/>
    <w:multiLevelType w:val="multilevel"/>
    <w:tmpl w:val="329C0F66"/>
    <w:lvl w:ilvl="0">
      <w:start w:val="4"/>
      <w:numFmt w:val="decimal"/>
      <w:lvlText w:val="%1"/>
      <w:lvlJc w:val="left"/>
      <w:pPr>
        <w:ind w:left="576" w:hanging="576"/>
      </w:pPr>
      <w:rPr>
        <w:rFonts w:hint="default"/>
      </w:rPr>
    </w:lvl>
    <w:lvl w:ilvl="1">
      <w:start w:val="1"/>
      <w:numFmt w:val="decimal"/>
      <w:lvlText w:val="%1.%2"/>
      <w:lvlJc w:val="left"/>
      <w:pPr>
        <w:ind w:left="680" w:hanging="576"/>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11">
    <w:nsid w:val="26B65631"/>
    <w:multiLevelType w:val="hybridMultilevel"/>
    <w:tmpl w:val="7CC62F56"/>
    <w:lvl w:ilvl="0" w:tplc="BA2CD658">
      <w:start w:val="1"/>
      <w:numFmt w:val="decimal"/>
      <w:lvlText w:val="%1."/>
      <w:lvlJc w:val="left"/>
      <w:pPr>
        <w:ind w:left="644" w:hanging="360"/>
      </w:pPr>
      <w:rPr>
        <w:rFonts w:hint="default"/>
      </w:rPr>
    </w:lvl>
    <w:lvl w:ilvl="1" w:tplc="40090019" w:tentative="1">
      <w:start w:val="1"/>
      <w:numFmt w:val="lowerLetter"/>
      <w:lvlText w:val="%2."/>
      <w:lvlJc w:val="left"/>
      <w:pPr>
        <w:ind w:left="1956" w:hanging="360"/>
      </w:pPr>
    </w:lvl>
    <w:lvl w:ilvl="2" w:tplc="4009001B" w:tentative="1">
      <w:start w:val="1"/>
      <w:numFmt w:val="lowerRoman"/>
      <w:lvlText w:val="%3."/>
      <w:lvlJc w:val="right"/>
      <w:pPr>
        <w:ind w:left="2676" w:hanging="180"/>
      </w:pPr>
    </w:lvl>
    <w:lvl w:ilvl="3" w:tplc="4009000F" w:tentative="1">
      <w:start w:val="1"/>
      <w:numFmt w:val="decimal"/>
      <w:lvlText w:val="%4."/>
      <w:lvlJc w:val="left"/>
      <w:pPr>
        <w:ind w:left="3396" w:hanging="360"/>
      </w:pPr>
    </w:lvl>
    <w:lvl w:ilvl="4" w:tplc="40090019" w:tentative="1">
      <w:start w:val="1"/>
      <w:numFmt w:val="lowerLetter"/>
      <w:lvlText w:val="%5."/>
      <w:lvlJc w:val="left"/>
      <w:pPr>
        <w:ind w:left="4116" w:hanging="360"/>
      </w:pPr>
    </w:lvl>
    <w:lvl w:ilvl="5" w:tplc="4009001B" w:tentative="1">
      <w:start w:val="1"/>
      <w:numFmt w:val="lowerRoman"/>
      <w:lvlText w:val="%6."/>
      <w:lvlJc w:val="right"/>
      <w:pPr>
        <w:ind w:left="4836" w:hanging="180"/>
      </w:pPr>
    </w:lvl>
    <w:lvl w:ilvl="6" w:tplc="4009000F" w:tentative="1">
      <w:start w:val="1"/>
      <w:numFmt w:val="decimal"/>
      <w:lvlText w:val="%7."/>
      <w:lvlJc w:val="left"/>
      <w:pPr>
        <w:ind w:left="5556" w:hanging="360"/>
      </w:pPr>
    </w:lvl>
    <w:lvl w:ilvl="7" w:tplc="40090019" w:tentative="1">
      <w:start w:val="1"/>
      <w:numFmt w:val="lowerLetter"/>
      <w:lvlText w:val="%8."/>
      <w:lvlJc w:val="left"/>
      <w:pPr>
        <w:ind w:left="6276" w:hanging="360"/>
      </w:pPr>
    </w:lvl>
    <w:lvl w:ilvl="8" w:tplc="4009001B" w:tentative="1">
      <w:start w:val="1"/>
      <w:numFmt w:val="lowerRoman"/>
      <w:lvlText w:val="%9."/>
      <w:lvlJc w:val="right"/>
      <w:pPr>
        <w:ind w:left="6996" w:hanging="180"/>
      </w:pPr>
    </w:lvl>
  </w:abstractNum>
  <w:abstractNum w:abstractNumId="12">
    <w:nsid w:val="27FA5841"/>
    <w:multiLevelType w:val="multilevel"/>
    <w:tmpl w:val="DD48BF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9BB182C"/>
    <w:multiLevelType w:val="multilevel"/>
    <w:tmpl w:val="FB98A20A"/>
    <w:lvl w:ilvl="0">
      <w:start w:val="3"/>
      <w:numFmt w:val="decimal"/>
      <w:lvlText w:val="%1"/>
      <w:lvlJc w:val="left"/>
      <w:pPr>
        <w:ind w:left="360" w:hanging="360"/>
      </w:pPr>
      <w:rPr>
        <w:rFonts w:hint="default"/>
      </w:rPr>
    </w:lvl>
    <w:lvl w:ilvl="1">
      <w:start w:val="5"/>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4">
    <w:nsid w:val="29C06D01"/>
    <w:multiLevelType w:val="hybridMultilevel"/>
    <w:tmpl w:val="BDA88330"/>
    <w:lvl w:ilvl="0" w:tplc="EB3CE1B0">
      <w:start w:val="4"/>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A8456AC"/>
    <w:multiLevelType w:val="multilevel"/>
    <w:tmpl w:val="B5D89B6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CD81554"/>
    <w:multiLevelType w:val="hybridMultilevel"/>
    <w:tmpl w:val="BBBCD3C6"/>
    <w:lvl w:ilvl="0" w:tplc="6572527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67E41BE"/>
    <w:multiLevelType w:val="multilevel"/>
    <w:tmpl w:val="AD227AA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99E19A0"/>
    <w:multiLevelType w:val="multilevel"/>
    <w:tmpl w:val="7F16FF0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B2074E5"/>
    <w:multiLevelType w:val="hybridMultilevel"/>
    <w:tmpl w:val="949EF1F8"/>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20">
    <w:nsid w:val="3CA4202D"/>
    <w:multiLevelType w:val="hybridMultilevel"/>
    <w:tmpl w:val="243EE0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F392638"/>
    <w:multiLevelType w:val="multilevel"/>
    <w:tmpl w:val="078E38AE"/>
    <w:lvl w:ilvl="0">
      <w:start w:val="1"/>
      <w:numFmt w:val="decimal"/>
      <w:lvlText w:val="%1."/>
      <w:lvlJc w:val="left"/>
      <w:pPr>
        <w:ind w:left="792" w:hanging="360"/>
      </w:pPr>
    </w:lvl>
    <w:lvl w:ilvl="1">
      <w:start w:val="1"/>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2232" w:hanging="1800"/>
      </w:pPr>
      <w:rPr>
        <w:rFonts w:hint="default"/>
      </w:rPr>
    </w:lvl>
    <w:lvl w:ilvl="7">
      <w:start w:val="1"/>
      <w:numFmt w:val="decimal"/>
      <w:isLgl/>
      <w:lvlText w:val="%1.%2.%3.%4.%5.%6.%7.%8"/>
      <w:lvlJc w:val="left"/>
      <w:pPr>
        <w:ind w:left="2592" w:hanging="2160"/>
      </w:pPr>
      <w:rPr>
        <w:rFonts w:hint="default"/>
      </w:rPr>
    </w:lvl>
    <w:lvl w:ilvl="8">
      <w:start w:val="1"/>
      <w:numFmt w:val="decimal"/>
      <w:isLgl/>
      <w:lvlText w:val="%1.%2.%3.%4.%5.%6.%7.%8.%9"/>
      <w:lvlJc w:val="left"/>
      <w:pPr>
        <w:ind w:left="2592" w:hanging="2160"/>
      </w:pPr>
      <w:rPr>
        <w:rFonts w:hint="default"/>
      </w:rPr>
    </w:lvl>
  </w:abstractNum>
  <w:abstractNum w:abstractNumId="22">
    <w:nsid w:val="41367538"/>
    <w:multiLevelType w:val="hybridMultilevel"/>
    <w:tmpl w:val="15B4F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18D07DC"/>
    <w:multiLevelType w:val="multilevel"/>
    <w:tmpl w:val="0E82D56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3985E8C"/>
    <w:multiLevelType w:val="multilevel"/>
    <w:tmpl w:val="F5C8AAF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8B46BF0"/>
    <w:multiLevelType w:val="hybridMultilevel"/>
    <w:tmpl w:val="9D5EC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90B698E"/>
    <w:multiLevelType w:val="hybridMultilevel"/>
    <w:tmpl w:val="DF8C82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BED1485"/>
    <w:multiLevelType w:val="hybridMultilevel"/>
    <w:tmpl w:val="3D9E3E4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55183052"/>
    <w:multiLevelType w:val="hybridMultilevel"/>
    <w:tmpl w:val="59B26DD6"/>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5722E3B"/>
    <w:multiLevelType w:val="hybridMultilevel"/>
    <w:tmpl w:val="BA36276C"/>
    <w:lvl w:ilvl="0" w:tplc="65BAF5F8">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C935045"/>
    <w:multiLevelType w:val="hybridMultilevel"/>
    <w:tmpl w:val="63C0130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5F5F0FE3"/>
    <w:multiLevelType w:val="hybridMultilevel"/>
    <w:tmpl w:val="2864E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06B434C"/>
    <w:multiLevelType w:val="hybridMultilevel"/>
    <w:tmpl w:val="F2B6F2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1D31571"/>
    <w:multiLevelType w:val="multilevel"/>
    <w:tmpl w:val="7CFE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8E3BF8"/>
    <w:multiLevelType w:val="hybridMultilevel"/>
    <w:tmpl w:val="9F2020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4F72C40"/>
    <w:multiLevelType w:val="multilevel"/>
    <w:tmpl w:val="E9B21060"/>
    <w:lvl w:ilvl="0">
      <w:start w:val="1"/>
      <w:numFmt w:val="decimal"/>
      <w:lvlText w:val="%1."/>
      <w:lvlJc w:val="left"/>
      <w:pPr>
        <w:ind w:left="792" w:hanging="360"/>
      </w:pPr>
      <w:rPr>
        <w:rFonts w:hint="default"/>
        <w:b/>
        <w:bCs/>
      </w:rPr>
    </w:lvl>
    <w:lvl w:ilvl="1">
      <w:start w:val="1"/>
      <w:numFmt w:val="decimal"/>
      <w:isLgl/>
      <w:lvlText w:val="%1.%2."/>
      <w:lvlJc w:val="left"/>
      <w:pPr>
        <w:ind w:left="1152" w:hanging="720"/>
      </w:pPr>
      <w:rPr>
        <w:rFonts w:hint="default"/>
        <w:sz w:val="24"/>
      </w:rPr>
    </w:lvl>
    <w:lvl w:ilvl="2">
      <w:start w:val="3"/>
      <w:numFmt w:val="decimal"/>
      <w:isLgl/>
      <w:lvlText w:val="%1.%2.%3."/>
      <w:lvlJc w:val="left"/>
      <w:pPr>
        <w:ind w:left="1152" w:hanging="720"/>
      </w:pPr>
      <w:rPr>
        <w:rFonts w:hint="default"/>
        <w:sz w:val="24"/>
      </w:rPr>
    </w:lvl>
    <w:lvl w:ilvl="3">
      <w:start w:val="1"/>
      <w:numFmt w:val="decimal"/>
      <w:isLgl/>
      <w:lvlText w:val="%1.%2.%3.%4."/>
      <w:lvlJc w:val="left"/>
      <w:pPr>
        <w:ind w:left="1512" w:hanging="1080"/>
      </w:pPr>
      <w:rPr>
        <w:rFonts w:hint="default"/>
        <w:sz w:val="24"/>
      </w:rPr>
    </w:lvl>
    <w:lvl w:ilvl="4">
      <w:start w:val="1"/>
      <w:numFmt w:val="decimal"/>
      <w:isLgl/>
      <w:lvlText w:val="%1.%2.%3.%4.%5."/>
      <w:lvlJc w:val="left"/>
      <w:pPr>
        <w:ind w:left="1512" w:hanging="1080"/>
      </w:pPr>
      <w:rPr>
        <w:rFonts w:hint="default"/>
        <w:sz w:val="24"/>
      </w:rPr>
    </w:lvl>
    <w:lvl w:ilvl="5">
      <w:start w:val="1"/>
      <w:numFmt w:val="decimal"/>
      <w:isLgl/>
      <w:lvlText w:val="%1.%2.%3.%4.%5.%6."/>
      <w:lvlJc w:val="left"/>
      <w:pPr>
        <w:ind w:left="1872" w:hanging="1440"/>
      </w:pPr>
      <w:rPr>
        <w:rFonts w:hint="default"/>
        <w:sz w:val="24"/>
      </w:rPr>
    </w:lvl>
    <w:lvl w:ilvl="6">
      <w:start w:val="1"/>
      <w:numFmt w:val="decimal"/>
      <w:isLgl/>
      <w:lvlText w:val="%1.%2.%3.%4.%5.%6.%7."/>
      <w:lvlJc w:val="left"/>
      <w:pPr>
        <w:ind w:left="2232" w:hanging="1800"/>
      </w:pPr>
      <w:rPr>
        <w:rFonts w:hint="default"/>
        <w:sz w:val="24"/>
      </w:rPr>
    </w:lvl>
    <w:lvl w:ilvl="7">
      <w:start w:val="1"/>
      <w:numFmt w:val="decimal"/>
      <w:isLgl/>
      <w:lvlText w:val="%1.%2.%3.%4.%5.%6.%7.%8."/>
      <w:lvlJc w:val="left"/>
      <w:pPr>
        <w:ind w:left="2232" w:hanging="1800"/>
      </w:pPr>
      <w:rPr>
        <w:rFonts w:hint="default"/>
        <w:sz w:val="24"/>
      </w:rPr>
    </w:lvl>
    <w:lvl w:ilvl="8">
      <w:start w:val="1"/>
      <w:numFmt w:val="decimal"/>
      <w:isLgl/>
      <w:lvlText w:val="%1.%2.%3.%4.%5.%6.%7.%8.%9."/>
      <w:lvlJc w:val="left"/>
      <w:pPr>
        <w:ind w:left="2592" w:hanging="2160"/>
      </w:pPr>
      <w:rPr>
        <w:rFonts w:hint="default"/>
        <w:sz w:val="24"/>
      </w:rPr>
    </w:lvl>
  </w:abstractNum>
  <w:abstractNum w:abstractNumId="36">
    <w:nsid w:val="65215CAE"/>
    <w:multiLevelType w:val="hybridMultilevel"/>
    <w:tmpl w:val="843453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949687B"/>
    <w:multiLevelType w:val="hybridMultilevel"/>
    <w:tmpl w:val="07AE1AB2"/>
    <w:lvl w:ilvl="0" w:tplc="6572527E">
      <w:start w:val="1"/>
      <w:numFmt w:val="decimal"/>
      <w:lvlText w:val="%1."/>
      <w:lvlJc w:val="left"/>
      <w:pPr>
        <w:ind w:left="502"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2336749"/>
    <w:multiLevelType w:val="hybridMultilevel"/>
    <w:tmpl w:val="67B4037C"/>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9">
    <w:nsid w:val="74B87F9D"/>
    <w:multiLevelType w:val="hybridMultilevel"/>
    <w:tmpl w:val="107604FC"/>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40">
    <w:nsid w:val="762531DE"/>
    <w:multiLevelType w:val="hybridMultilevel"/>
    <w:tmpl w:val="86B6681E"/>
    <w:lvl w:ilvl="0" w:tplc="40090001">
      <w:start w:val="1"/>
      <w:numFmt w:val="bullet"/>
      <w:lvlText w:val=""/>
      <w:lvlJc w:val="left"/>
      <w:pPr>
        <w:ind w:left="1512"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41">
    <w:nsid w:val="77485786"/>
    <w:multiLevelType w:val="hybridMultilevel"/>
    <w:tmpl w:val="3258B9FE"/>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42">
    <w:nsid w:val="788013DF"/>
    <w:multiLevelType w:val="hybridMultilevel"/>
    <w:tmpl w:val="D6AC25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DF31477"/>
    <w:multiLevelType w:val="multilevel"/>
    <w:tmpl w:val="AB2C41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FCB711E"/>
    <w:multiLevelType w:val="multilevel"/>
    <w:tmpl w:val="951CFF4E"/>
    <w:lvl w:ilvl="0">
      <w:start w:val="4"/>
      <w:numFmt w:val="decimal"/>
      <w:lvlText w:val="%1"/>
      <w:lvlJc w:val="left"/>
      <w:pPr>
        <w:ind w:left="576" w:hanging="576"/>
      </w:pPr>
      <w:rPr>
        <w:rFonts w:hint="default"/>
      </w:rPr>
    </w:lvl>
    <w:lvl w:ilvl="1">
      <w:start w:val="1"/>
      <w:numFmt w:val="decimal"/>
      <w:lvlText w:val="%1.%2"/>
      <w:lvlJc w:val="left"/>
      <w:pPr>
        <w:ind w:left="680" w:hanging="576"/>
      </w:pPr>
      <w:rPr>
        <w:rFonts w:hint="default"/>
      </w:rPr>
    </w:lvl>
    <w:lvl w:ilvl="2">
      <w:start w:val="4"/>
      <w:numFmt w:val="decimal"/>
      <w:lvlText w:val="%1.%2.%3"/>
      <w:lvlJc w:val="left"/>
      <w:pPr>
        <w:ind w:left="928" w:hanging="72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num w:numId="1">
    <w:abstractNumId w:val="33"/>
  </w:num>
  <w:num w:numId="2">
    <w:abstractNumId w:val="28"/>
  </w:num>
  <w:num w:numId="3">
    <w:abstractNumId w:val="31"/>
  </w:num>
  <w:num w:numId="4">
    <w:abstractNumId w:val="27"/>
  </w:num>
  <w:num w:numId="5">
    <w:abstractNumId w:val="20"/>
  </w:num>
  <w:num w:numId="6">
    <w:abstractNumId w:val="18"/>
  </w:num>
  <w:num w:numId="7">
    <w:abstractNumId w:val="43"/>
  </w:num>
  <w:num w:numId="8">
    <w:abstractNumId w:val="17"/>
  </w:num>
  <w:num w:numId="9">
    <w:abstractNumId w:val="16"/>
  </w:num>
  <w:num w:numId="10">
    <w:abstractNumId w:val="37"/>
  </w:num>
  <w:num w:numId="11">
    <w:abstractNumId w:val="35"/>
  </w:num>
  <w:num w:numId="12">
    <w:abstractNumId w:val="42"/>
  </w:num>
  <w:num w:numId="13">
    <w:abstractNumId w:val="19"/>
  </w:num>
  <w:num w:numId="14">
    <w:abstractNumId w:val="25"/>
  </w:num>
  <w:num w:numId="15">
    <w:abstractNumId w:val="1"/>
  </w:num>
  <w:num w:numId="16">
    <w:abstractNumId w:val="36"/>
  </w:num>
  <w:num w:numId="17">
    <w:abstractNumId w:val="34"/>
  </w:num>
  <w:num w:numId="18">
    <w:abstractNumId w:val="39"/>
  </w:num>
  <w:num w:numId="19">
    <w:abstractNumId w:val="12"/>
  </w:num>
  <w:num w:numId="20">
    <w:abstractNumId w:val="5"/>
  </w:num>
  <w:num w:numId="21">
    <w:abstractNumId w:val="7"/>
  </w:num>
  <w:num w:numId="22">
    <w:abstractNumId w:val="41"/>
  </w:num>
  <w:num w:numId="23">
    <w:abstractNumId w:val="13"/>
  </w:num>
  <w:num w:numId="24">
    <w:abstractNumId w:val="2"/>
  </w:num>
  <w:num w:numId="25">
    <w:abstractNumId w:val="15"/>
  </w:num>
  <w:num w:numId="26">
    <w:abstractNumId w:val="21"/>
  </w:num>
  <w:num w:numId="27">
    <w:abstractNumId w:val="24"/>
  </w:num>
  <w:num w:numId="28">
    <w:abstractNumId w:val="11"/>
  </w:num>
  <w:num w:numId="29">
    <w:abstractNumId w:val="0"/>
  </w:num>
  <w:num w:numId="30">
    <w:abstractNumId w:val="4"/>
  </w:num>
  <w:num w:numId="31">
    <w:abstractNumId w:val="6"/>
  </w:num>
  <w:num w:numId="32">
    <w:abstractNumId w:val="38"/>
  </w:num>
  <w:num w:numId="33">
    <w:abstractNumId w:val="32"/>
  </w:num>
  <w:num w:numId="34">
    <w:abstractNumId w:val="10"/>
  </w:num>
  <w:num w:numId="35">
    <w:abstractNumId w:val="29"/>
  </w:num>
  <w:num w:numId="36">
    <w:abstractNumId w:val="40"/>
  </w:num>
  <w:num w:numId="37">
    <w:abstractNumId w:val="9"/>
  </w:num>
  <w:num w:numId="38">
    <w:abstractNumId w:val="26"/>
  </w:num>
  <w:num w:numId="39">
    <w:abstractNumId w:val="30"/>
  </w:num>
  <w:num w:numId="40">
    <w:abstractNumId w:val="23"/>
  </w:num>
  <w:num w:numId="41">
    <w:abstractNumId w:val="44"/>
  </w:num>
  <w:num w:numId="42">
    <w:abstractNumId w:val="3"/>
  </w:num>
  <w:num w:numId="43">
    <w:abstractNumId w:val="22"/>
  </w:num>
  <w:num w:numId="44">
    <w:abstractNumId w:val="8"/>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1D00E4"/>
    <w:rsid w:val="000705CB"/>
    <w:rsid w:val="000A48F2"/>
    <w:rsid w:val="001266B8"/>
    <w:rsid w:val="00195F94"/>
    <w:rsid w:val="001975E3"/>
    <w:rsid w:val="001D00E4"/>
    <w:rsid w:val="00227183"/>
    <w:rsid w:val="00227354"/>
    <w:rsid w:val="002423EC"/>
    <w:rsid w:val="002600A4"/>
    <w:rsid w:val="00281ECF"/>
    <w:rsid w:val="00296DE7"/>
    <w:rsid w:val="002B02DD"/>
    <w:rsid w:val="002B609E"/>
    <w:rsid w:val="002D5DA5"/>
    <w:rsid w:val="00311455"/>
    <w:rsid w:val="00367B4C"/>
    <w:rsid w:val="003700E2"/>
    <w:rsid w:val="00371597"/>
    <w:rsid w:val="003A2633"/>
    <w:rsid w:val="003D5C23"/>
    <w:rsid w:val="003F6418"/>
    <w:rsid w:val="00444710"/>
    <w:rsid w:val="00454A07"/>
    <w:rsid w:val="004B3781"/>
    <w:rsid w:val="004C38EB"/>
    <w:rsid w:val="004E116E"/>
    <w:rsid w:val="00530BE5"/>
    <w:rsid w:val="005A6779"/>
    <w:rsid w:val="00674B2E"/>
    <w:rsid w:val="00685B3A"/>
    <w:rsid w:val="006B774C"/>
    <w:rsid w:val="007420DD"/>
    <w:rsid w:val="00743167"/>
    <w:rsid w:val="0076646D"/>
    <w:rsid w:val="00771628"/>
    <w:rsid w:val="00786D25"/>
    <w:rsid w:val="007F2E21"/>
    <w:rsid w:val="00810DCD"/>
    <w:rsid w:val="008B0613"/>
    <w:rsid w:val="00964638"/>
    <w:rsid w:val="00980DFF"/>
    <w:rsid w:val="009921C1"/>
    <w:rsid w:val="009B089E"/>
    <w:rsid w:val="00A439D9"/>
    <w:rsid w:val="00A62708"/>
    <w:rsid w:val="00A70C41"/>
    <w:rsid w:val="00A80D30"/>
    <w:rsid w:val="00AB2C69"/>
    <w:rsid w:val="00AB62B1"/>
    <w:rsid w:val="00AF2C9A"/>
    <w:rsid w:val="00AF342A"/>
    <w:rsid w:val="00B103B3"/>
    <w:rsid w:val="00BB5879"/>
    <w:rsid w:val="00BC281B"/>
    <w:rsid w:val="00BE2C1C"/>
    <w:rsid w:val="00BE6547"/>
    <w:rsid w:val="00BE7327"/>
    <w:rsid w:val="00C60481"/>
    <w:rsid w:val="00CC1499"/>
    <w:rsid w:val="00CE4275"/>
    <w:rsid w:val="00D60F2E"/>
    <w:rsid w:val="00DC7469"/>
    <w:rsid w:val="00DD465C"/>
    <w:rsid w:val="00DE3587"/>
    <w:rsid w:val="00E03EA1"/>
    <w:rsid w:val="00E835C6"/>
    <w:rsid w:val="00EA09D2"/>
    <w:rsid w:val="00EA7112"/>
    <w:rsid w:val="00EC4B31"/>
    <w:rsid w:val="00FC2EB7"/>
    <w:rsid w:val="00FC69FD"/>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kern w:val="2"/>
        <w:sz w:val="24"/>
        <w:szCs w:val="24"/>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0DD"/>
  </w:style>
  <w:style w:type="paragraph" w:styleId="Heading1">
    <w:name w:val="heading 1"/>
    <w:basedOn w:val="Normal"/>
    <w:link w:val="Heading1Char"/>
    <w:uiPriority w:val="9"/>
    <w:qFormat/>
    <w:rsid w:val="00E03EA1"/>
    <w:pPr>
      <w:spacing w:before="100" w:beforeAutospacing="1" w:after="100" w:afterAutospacing="1" w:line="240" w:lineRule="auto"/>
      <w:outlineLvl w:val="0"/>
    </w:pPr>
    <w:rPr>
      <w:rFonts w:eastAsia="Times New Roman"/>
      <w:b/>
      <w:bCs/>
      <w:kern w:val="36"/>
      <w:sz w:val="48"/>
      <w:szCs w:val="48"/>
      <w:lang w:eastAsia="en-IN"/>
    </w:rPr>
  </w:style>
  <w:style w:type="paragraph" w:styleId="Heading2">
    <w:name w:val="heading 2"/>
    <w:basedOn w:val="Normal"/>
    <w:link w:val="Heading2Char"/>
    <w:uiPriority w:val="9"/>
    <w:qFormat/>
    <w:rsid w:val="00367B4C"/>
    <w:pPr>
      <w:spacing w:before="100" w:beforeAutospacing="1" w:after="100" w:afterAutospacing="1" w:line="240" w:lineRule="auto"/>
      <w:outlineLvl w:val="1"/>
    </w:pPr>
    <w:rPr>
      <w:rFonts w:eastAsia="Times New Roman"/>
      <w:b/>
      <w:bCs/>
      <w:kern w:val="0"/>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EA1"/>
    <w:rPr>
      <w:rFonts w:eastAsia="Times New Roman"/>
      <w:b/>
      <w:bCs/>
      <w:kern w:val="36"/>
      <w:sz w:val="48"/>
      <w:szCs w:val="48"/>
      <w:lang w:eastAsia="en-IN"/>
    </w:rPr>
  </w:style>
  <w:style w:type="character" w:customStyle="1" w:styleId="Heading2Char">
    <w:name w:val="Heading 2 Char"/>
    <w:basedOn w:val="DefaultParagraphFont"/>
    <w:link w:val="Heading2"/>
    <w:uiPriority w:val="9"/>
    <w:rsid w:val="00367B4C"/>
    <w:rPr>
      <w:rFonts w:eastAsia="Times New Roman"/>
      <w:b/>
      <w:bCs/>
      <w:kern w:val="0"/>
      <w:sz w:val="36"/>
      <w:szCs w:val="36"/>
      <w:lang w:eastAsia="en-IN"/>
    </w:rPr>
  </w:style>
  <w:style w:type="paragraph" w:styleId="Header">
    <w:name w:val="header"/>
    <w:basedOn w:val="Normal"/>
    <w:link w:val="HeaderChar"/>
    <w:uiPriority w:val="99"/>
    <w:unhideWhenUsed/>
    <w:rsid w:val="001D0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0E4"/>
  </w:style>
  <w:style w:type="paragraph" w:styleId="Footer">
    <w:name w:val="footer"/>
    <w:basedOn w:val="Normal"/>
    <w:link w:val="FooterChar"/>
    <w:uiPriority w:val="99"/>
    <w:unhideWhenUsed/>
    <w:rsid w:val="001D0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0E4"/>
  </w:style>
  <w:style w:type="table" w:styleId="TableGrid">
    <w:name w:val="Table Grid"/>
    <w:basedOn w:val="TableNormal"/>
    <w:uiPriority w:val="39"/>
    <w:rsid w:val="000A4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66B8"/>
    <w:pPr>
      <w:ind w:left="720"/>
      <w:contextualSpacing/>
    </w:pPr>
  </w:style>
  <w:style w:type="character" w:customStyle="1" w:styleId="truncatedauthor">
    <w:name w:val="truncatedauthor"/>
    <w:basedOn w:val="DefaultParagraphFont"/>
    <w:rsid w:val="00E03EA1"/>
  </w:style>
  <w:style w:type="character" w:styleId="Hyperlink">
    <w:name w:val="Hyperlink"/>
    <w:basedOn w:val="DefaultParagraphFont"/>
    <w:uiPriority w:val="99"/>
    <w:unhideWhenUsed/>
    <w:rsid w:val="00E03EA1"/>
    <w:rPr>
      <w:color w:val="0000FF"/>
      <w:u w:val="single"/>
    </w:rPr>
  </w:style>
  <w:style w:type="character" w:customStyle="1" w:styleId="roboto-bold">
    <w:name w:val="roboto-bold"/>
    <w:basedOn w:val="DefaultParagraphFont"/>
    <w:rsid w:val="00E03EA1"/>
  </w:style>
  <w:style w:type="character" w:customStyle="1" w:styleId="jnlarticle">
    <w:name w:val="jnlarticle"/>
    <w:basedOn w:val="DefaultParagraphFont"/>
    <w:rsid w:val="00E03EA1"/>
  </w:style>
  <w:style w:type="character" w:styleId="Strong">
    <w:name w:val="Strong"/>
    <w:basedOn w:val="DefaultParagraphFont"/>
    <w:uiPriority w:val="22"/>
    <w:qFormat/>
    <w:rsid w:val="00E03EA1"/>
    <w:rPr>
      <w:b/>
      <w:bCs/>
    </w:rPr>
  </w:style>
  <w:style w:type="character" w:customStyle="1" w:styleId="UnresolvedMention">
    <w:name w:val="Unresolved Mention"/>
    <w:basedOn w:val="DefaultParagraphFont"/>
    <w:uiPriority w:val="99"/>
    <w:semiHidden/>
    <w:unhideWhenUsed/>
    <w:rsid w:val="00195F94"/>
    <w:rPr>
      <w:color w:val="605E5C"/>
      <w:shd w:val="clear" w:color="auto" w:fill="E1DFDD"/>
    </w:rPr>
  </w:style>
  <w:style w:type="paragraph" w:styleId="BalloonText">
    <w:name w:val="Balloon Text"/>
    <w:basedOn w:val="Normal"/>
    <w:link w:val="BalloonTextChar"/>
    <w:uiPriority w:val="99"/>
    <w:semiHidden/>
    <w:unhideWhenUsed/>
    <w:rsid w:val="00367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B4C"/>
    <w:rPr>
      <w:rFonts w:ascii="Tahoma" w:hAnsi="Tahoma" w:cs="Tahoma"/>
      <w:sz w:val="16"/>
      <w:szCs w:val="16"/>
    </w:rPr>
  </w:style>
  <w:style w:type="character" w:customStyle="1" w:styleId="number">
    <w:name w:val="number"/>
    <w:basedOn w:val="DefaultParagraphFont"/>
    <w:rsid w:val="00367B4C"/>
  </w:style>
</w:styles>
</file>

<file path=word/webSettings.xml><?xml version="1.0" encoding="utf-8"?>
<w:webSettings xmlns:r="http://schemas.openxmlformats.org/officeDocument/2006/relationships" xmlns:w="http://schemas.openxmlformats.org/wordprocessingml/2006/main">
  <w:divs>
    <w:div w:id="1279608388">
      <w:bodyDiv w:val="1"/>
      <w:marLeft w:val="0"/>
      <w:marRight w:val="0"/>
      <w:marTop w:val="0"/>
      <w:marBottom w:val="0"/>
      <w:divBdr>
        <w:top w:val="none" w:sz="0" w:space="0" w:color="auto"/>
        <w:left w:val="none" w:sz="0" w:space="0" w:color="auto"/>
        <w:bottom w:val="none" w:sz="0" w:space="0" w:color="auto"/>
        <w:right w:val="none" w:sz="0" w:space="0" w:color="auto"/>
      </w:divBdr>
      <w:divsChild>
        <w:div w:id="1676881090">
          <w:marLeft w:val="0"/>
          <w:marRight w:val="0"/>
          <w:marTop w:val="0"/>
          <w:marBottom w:val="0"/>
          <w:divBdr>
            <w:top w:val="none" w:sz="0" w:space="0" w:color="auto"/>
            <w:left w:val="none" w:sz="0" w:space="0" w:color="auto"/>
            <w:bottom w:val="none" w:sz="0" w:space="0" w:color="auto"/>
            <w:right w:val="none" w:sz="0" w:space="0" w:color="auto"/>
          </w:divBdr>
        </w:div>
        <w:div w:id="1996491058">
          <w:marLeft w:val="0"/>
          <w:marRight w:val="0"/>
          <w:marTop w:val="0"/>
          <w:marBottom w:val="225"/>
          <w:divBdr>
            <w:top w:val="none" w:sz="0" w:space="0" w:color="auto"/>
            <w:left w:val="none" w:sz="0" w:space="0" w:color="auto"/>
            <w:bottom w:val="none" w:sz="0" w:space="0" w:color="auto"/>
            <w:right w:val="none" w:sz="0" w:space="0" w:color="auto"/>
          </w:divBdr>
          <w:divsChild>
            <w:div w:id="871919604">
              <w:marLeft w:val="0"/>
              <w:marRight w:val="0"/>
              <w:marTop w:val="0"/>
              <w:marBottom w:val="0"/>
              <w:divBdr>
                <w:top w:val="none" w:sz="0" w:space="0" w:color="auto"/>
                <w:left w:val="none" w:sz="0" w:space="0" w:color="auto"/>
                <w:bottom w:val="none" w:sz="0" w:space="0" w:color="auto"/>
                <w:right w:val="none" w:sz="0" w:space="0" w:color="auto"/>
              </w:divBdr>
            </w:div>
            <w:div w:id="1505438086">
              <w:marLeft w:val="0"/>
              <w:marRight w:val="0"/>
              <w:marTop w:val="0"/>
              <w:marBottom w:val="0"/>
              <w:divBdr>
                <w:top w:val="none" w:sz="0" w:space="0" w:color="auto"/>
                <w:left w:val="none" w:sz="0" w:space="0" w:color="auto"/>
                <w:bottom w:val="none" w:sz="0" w:space="0" w:color="auto"/>
                <w:right w:val="none" w:sz="0" w:space="0" w:color="auto"/>
              </w:divBdr>
            </w:div>
            <w:div w:id="5178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3471">
      <w:bodyDiv w:val="1"/>
      <w:marLeft w:val="0"/>
      <w:marRight w:val="0"/>
      <w:marTop w:val="0"/>
      <w:marBottom w:val="0"/>
      <w:divBdr>
        <w:top w:val="none" w:sz="0" w:space="0" w:color="auto"/>
        <w:left w:val="none" w:sz="0" w:space="0" w:color="auto"/>
        <w:bottom w:val="none" w:sz="0" w:space="0" w:color="auto"/>
        <w:right w:val="none" w:sz="0" w:space="0" w:color="auto"/>
      </w:divBdr>
      <w:divsChild>
        <w:div w:id="114259314">
          <w:marLeft w:val="0"/>
          <w:marRight w:val="0"/>
          <w:marTop w:val="0"/>
          <w:marBottom w:val="0"/>
          <w:divBdr>
            <w:top w:val="none" w:sz="0" w:space="0" w:color="auto"/>
            <w:left w:val="none" w:sz="0" w:space="0" w:color="auto"/>
            <w:bottom w:val="none" w:sz="0" w:space="0" w:color="auto"/>
            <w:right w:val="none" w:sz="0" w:space="0" w:color="auto"/>
          </w:divBdr>
        </w:div>
        <w:div w:id="1011298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s://www.statista.com"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hyperlink" Target="https://search.proquest.com/openview/24d6d49cb54678d0fa26cc6301e08598/1?pq-origsite=gscholar&amp;cbl=55634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yperlink" Target="https://www.proquest.com/indexingvolumeissuelinkhandler/2029983/Asia+-+Pacific+Finance+and+Accounting+Review/02013Y04Y01$23Apr-Jun+2013$3b++Vol.+1+$283$29/1/3;jsessionid=E68B88CB9EFB20F0441E6C8179318C3B.i-0789c7f9aa884215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hyperlink" Target="https://www.equitypandit.com/historical-data/HINDUNILV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hyperlink" Target="https://www.moneycontrol.com" TargetMode="External"/><Relationship Id="rId45" Type="http://schemas.openxmlformats.org/officeDocument/2006/relationships/hyperlink" Target="https://www.academia.edu/download/40875722/THE_RELATIONSHIP_BETWEEN_DIVIDEND_POLICY_AND_SHAREHOLDERS_WEALTH_EVIDENCE_FROM_FMCG_SECTOR_IN_INDIA-2.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hyperlink" Target="https://www.jstor.org/stable/232580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yperlink" Target="https://search.proquest.com/openview/f4112d923036ced8d936ec37a764b119/1?pq-origsite=gscholar&amp;cbl=202998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NET PROFIT RATIO </a:t>
            </a:r>
          </a:p>
        </c:rich>
      </c:tx>
      <c:spPr>
        <a:noFill/>
        <a:ln>
          <a:noFill/>
        </a:ln>
        <a:effectLst/>
      </c:spPr>
    </c:title>
    <c:plotArea>
      <c:layout/>
      <c:barChart>
        <c:barDir val="col"/>
        <c:grouping val="clustered"/>
        <c:ser>
          <c:idx val="0"/>
          <c:order val="0"/>
          <c:tx>
            <c:strRef>
              <c:f>Sheet1!$B$1</c:f>
              <c:strCache>
                <c:ptCount val="1"/>
                <c:pt idx="0">
                  <c:v>net profit ratio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Sheet1!$A$2:$A$9</c:f>
              <c:numCache>
                <c:formatCode>mmm\-yy</c:formatCode>
                <c:ptCount val="8"/>
                <c:pt idx="0">
                  <c:v>44440</c:v>
                </c:pt>
                <c:pt idx="1">
                  <c:v>44531</c:v>
                </c:pt>
                <c:pt idx="2">
                  <c:v>44621</c:v>
                </c:pt>
                <c:pt idx="3">
                  <c:v>44713</c:v>
                </c:pt>
                <c:pt idx="4">
                  <c:v>44805</c:v>
                </c:pt>
                <c:pt idx="5">
                  <c:v>44896</c:v>
                </c:pt>
                <c:pt idx="6">
                  <c:v>44986</c:v>
                </c:pt>
                <c:pt idx="7">
                  <c:v>45078</c:v>
                </c:pt>
              </c:numCache>
            </c:numRef>
          </c:cat>
          <c:val>
            <c:numRef>
              <c:f>Sheet1!$B$2:$B$9</c:f>
              <c:numCache>
                <c:formatCode>General</c:formatCode>
                <c:ptCount val="8"/>
                <c:pt idx="0">
                  <c:v>16.75</c:v>
                </c:pt>
                <c:pt idx="1">
                  <c:v>17.110000000000014</c:v>
                </c:pt>
                <c:pt idx="2">
                  <c:v>16.760000000000002</c:v>
                </c:pt>
                <c:pt idx="3">
                  <c:v>16.350000000000001</c:v>
                </c:pt>
                <c:pt idx="4">
                  <c:v>17.630000000000013</c:v>
                </c:pt>
                <c:pt idx="5">
                  <c:v>15.91</c:v>
                </c:pt>
                <c:pt idx="6">
                  <c:v>17.09</c:v>
                </c:pt>
                <c:pt idx="7">
                  <c:v>16.489999999999977</c:v>
                </c:pt>
              </c:numCache>
            </c:numRef>
          </c:val>
          <c:extLst xmlns:c16r2="http://schemas.microsoft.com/office/drawing/2015/06/chart">
            <c:ext xmlns:c16="http://schemas.microsoft.com/office/drawing/2014/chart" uri="{C3380CC4-5D6E-409C-BE32-E72D297353CC}">
              <c16:uniqueId val="{00000000-7E0D-4AC1-8A0A-C6AFE839EEB4}"/>
            </c:ext>
          </c:extLst>
        </c:ser>
        <c:gapWidth val="0"/>
        <c:overlap val="-24"/>
        <c:axId val="168605184"/>
        <c:axId val="169000960"/>
      </c:barChart>
      <c:dateAx>
        <c:axId val="168605184"/>
        <c:scaling>
          <c:orientation val="minMax"/>
        </c:scaling>
        <c:axPos val="b"/>
        <c:numFmt formatCode="mmm\-yy"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9000960"/>
        <c:crosses val="autoZero"/>
        <c:auto val="1"/>
        <c:lblOffset val="100"/>
        <c:baseTimeUnit val="months"/>
      </c:dateAx>
      <c:valAx>
        <c:axId val="16900096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605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Sheet1!$B$1</c:f>
              <c:strCache>
                <c:ptCount val="1"/>
                <c:pt idx="0">
                  <c:v>operating profit ratio</c:v>
                </c:pt>
              </c:strCache>
            </c:strRef>
          </c:tx>
          <c:spPr>
            <a:ln w="28575" cap="rnd">
              <a:solidFill>
                <a:schemeClr val="accent1"/>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22</c:v>
                </c:pt>
                <c:pt idx="1">
                  <c:v>21.310000000000013</c:v>
                </c:pt>
                <c:pt idx="2">
                  <c:v>17.95</c:v>
                </c:pt>
                <c:pt idx="3">
                  <c:v>19.239999999999988</c:v>
                </c:pt>
                <c:pt idx="4">
                  <c:v>20.09</c:v>
                </c:pt>
                <c:pt idx="5">
                  <c:v>20.010000000000005</c:v>
                </c:pt>
                <c:pt idx="6">
                  <c:v>15.31</c:v>
                </c:pt>
                <c:pt idx="7">
                  <c:v>19.329999999999988</c:v>
                </c:pt>
                <c:pt idx="8">
                  <c:v>20.630000000000013</c:v>
                </c:pt>
              </c:numCache>
            </c:numRef>
          </c:val>
          <c:extLst xmlns:c16r2="http://schemas.microsoft.com/office/drawing/2015/06/chart">
            <c:ext xmlns:c16="http://schemas.microsoft.com/office/drawing/2014/chart" uri="{C3380CC4-5D6E-409C-BE32-E72D297353CC}">
              <c16:uniqueId val="{00000000-B569-462E-B1C8-BC5B139655A4}"/>
            </c:ext>
          </c:extLst>
        </c:ser>
        <c:marker val="1"/>
        <c:axId val="73143040"/>
        <c:axId val="73144576"/>
      </c:lineChart>
      <c:dateAx>
        <c:axId val="73143040"/>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44576"/>
        <c:crosses val="autoZero"/>
        <c:auto val="1"/>
        <c:lblOffset val="100"/>
        <c:baseTimeUnit val="months"/>
      </c:dateAx>
      <c:valAx>
        <c:axId val="731445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43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10830111898195866"/>
          <c:y val="0.13004629629629652"/>
          <c:w val="0.84555299379610649"/>
          <c:h val="0.67627903950022816"/>
        </c:manualLayout>
      </c:layout>
      <c:barChart>
        <c:barDir val="bar"/>
        <c:grouping val="clustered"/>
        <c:ser>
          <c:idx val="0"/>
          <c:order val="0"/>
          <c:tx>
            <c:strRef>
              <c:f>Sheet1!$B$1</c:f>
              <c:strCache>
                <c:ptCount val="1"/>
                <c:pt idx="0">
                  <c:v>Change in EPS (%)</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100</c:v>
                </c:pt>
                <c:pt idx="1">
                  <c:v>105.39</c:v>
                </c:pt>
                <c:pt idx="2">
                  <c:v>105.71000000000002</c:v>
                </c:pt>
                <c:pt idx="3">
                  <c:v>109.16</c:v>
                </c:pt>
                <c:pt idx="4">
                  <c:v>122.2</c:v>
                </c:pt>
                <c:pt idx="5">
                  <c:v>113.47</c:v>
                </c:pt>
                <c:pt idx="6">
                  <c:v>119.29</c:v>
                </c:pt>
                <c:pt idx="7">
                  <c:v>117.13</c:v>
                </c:pt>
                <c:pt idx="8">
                  <c:v>121.77</c:v>
                </c:pt>
              </c:numCache>
            </c:numRef>
          </c:val>
          <c:extLst xmlns:c16r2="http://schemas.microsoft.com/office/drawing/2015/06/chart">
            <c:ext xmlns:c16="http://schemas.microsoft.com/office/drawing/2014/chart" uri="{C3380CC4-5D6E-409C-BE32-E72D297353CC}">
              <c16:uniqueId val="{00000000-9F84-4BB7-B6E0-92F74BE3359E}"/>
            </c:ext>
          </c:extLst>
        </c:ser>
        <c:gapWidth val="0"/>
        <c:axId val="80304768"/>
        <c:axId val="85803392"/>
      </c:barChart>
      <c:dateAx>
        <c:axId val="80304768"/>
        <c:scaling>
          <c:orientation val="minMax"/>
        </c:scaling>
        <c:axPos val="l"/>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03392"/>
        <c:crosses val="autoZero"/>
        <c:auto val="1"/>
        <c:lblOffset val="100"/>
        <c:baseTimeUnit val="months"/>
      </c:dateAx>
      <c:valAx>
        <c:axId val="858033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047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31750" cap="flat" cmpd="sng" algn="ctr">
      <a:no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bar"/>
        <c:grouping val="clustered"/>
        <c:ser>
          <c:idx val="0"/>
          <c:order val="0"/>
          <c:tx>
            <c:strRef>
              <c:f>Sheet1!$B$1</c:f>
              <c:strCache>
                <c:ptCount val="1"/>
                <c:pt idx="0">
                  <c:v>Change in EPS(%)</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100</c:v>
                </c:pt>
                <c:pt idx="1">
                  <c:v>109.3</c:v>
                </c:pt>
                <c:pt idx="2">
                  <c:v>112.96000000000002</c:v>
                </c:pt>
                <c:pt idx="3">
                  <c:v>118.27</c:v>
                </c:pt>
                <c:pt idx="4">
                  <c:v>123.92</c:v>
                </c:pt>
                <c:pt idx="5">
                  <c:v>133.89000000000001</c:v>
                </c:pt>
                <c:pt idx="6">
                  <c:v>138.20999999999998</c:v>
                </c:pt>
                <c:pt idx="7">
                  <c:v>136.20999999999998</c:v>
                </c:pt>
                <c:pt idx="8">
                  <c:v>130.56</c:v>
                </c:pt>
              </c:numCache>
            </c:numRef>
          </c:val>
          <c:extLst xmlns:c16r2="http://schemas.microsoft.com/office/drawing/2015/06/chart">
            <c:ext xmlns:c16="http://schemas.microsoft.com/office/drawing/2014/chart" uri="{C3380CC4-5D6E-409C-BE32-E72D297353CC}">
              <c16:uniqueId val="{00000000-9CA4-4443-BACD-30573ACA6CFA}"/>
            </c:ext>
          </c:extLst>
        </c:ser>
        <c:gapWidth val="0"/>
        <c:axId val="74642176"/>
        <c:axId val="74643712"/>
      </c:barChart>
      <c:dateAx>
        <c:axId val="74642176"/>
        <c:scaling>
          <c:orientation val="minMax"/>
        </c:scaling>
        <c:axPos val="l"/>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43712"/>
        <c:crosses val="autoZero"/>
        <c:auto val="1"/>
        <c:lblOffset val="100"/>
        <c:baseTimeUnit val="months"/>
      </c:dateAx>
      <c:valAx>
        <c:axId val="746437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42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a:t>
            </a:r>
            <a:r>
              <a:rPr lang="en-US" baseline="0"/>
              <a:t> in EPS</a:t>
            </a:r>
            <a:endParaRPr lang="en-US"/>
          </a:p>
        </c:rich>
      </c:tx>
      <c:spPr>
        <a:noFill/>
        <a:ln>
          <a:noFill/>
        </a:ln>
        <a:effectLst/>
      </c:spPr>
    </c:title>
    <c:plotArea>
      <c:layout/>
      <c:barChart>
        <c:barDir val="bar"/>
        <c:grouping val="clustered"/>
        <c:ser>
          <c:idx val="0"/>
          <c:order val="0"/>
          <c:tx>
            <c:strRef>
              <c:f>Sheet1!$B$1</c:f>
              <c:strCache>
                <c:ptCount val="1"/>
                <c:pt idx="0">
                  <c:v>change in EPS</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100</c:v>
                </c:pt>
                <c:pt idx="1">
                  <c:v>93.740000000000023</c:v>
                </c:pt>
                <c:pt idx="2">
                  <c:v>120.2</c:v>
                </c:pt>
                <c:pt idx="3">
                  <c:v>77.88</c:v>
                </c:pt>
                <c:pt idx="4">
                  <c:v>103.23</c:v>
                </c:pt>
                <c:pt idx="5">
                  <c:v>90.3</c:v>
                </c:pt>
                <c:pt idx="6">
                  <c:v>117.47</c:v>
                </c:pt>
                <c:pt idx="7">
                  <c:v>101.61</c:v>
                </c:pt>
                <c:pt idx="8">
                  <c:v>126.26</c:v>
                </c:pt>
              </c:numCache>
            </c:numRef>
          </c:val>
          <c:extLst xmlns:c16r2="http://schemas.microsoft.com/office/drawing/2015/06/chart">
            <c:ext xmlns:c16="http://schemas.microsoft.com/office/drawing/2014/chart" uri="{C3380CC4-5D6E-409C-BE32-E72D297353CC}">
              <c16:uniqueId val="{00000000-E20B-488A-824E-F9B665F2C042}"/>
            </c:ext>
          </c:extLst>
        </c:ser>
        <c:gapWidth val="0"/>
        <c:axId val="100022912"/>
        <c:axId val="100024704"/>
      </c:barChart>
      <c:dateAx>
        <c:axId val="100022912"/>
        <c:scaling>
          <c:orientation val="minMax"/>
        </c:scaling>
        <c:axPos val="l"/>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24704"/>
        <c:crosses val="autoZero"/>
        <c:auto val="1"/>
        <c:lblOffset val="100"/>
        <c:baseTimeUnit val="months"/>
      </c:dateAx>
      <c:valAx>
        <c:axId val="1000247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22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bar"/>
        <c:grouping val="clustered"/>
        <c:ser>
          <c:idx val="0"/>
          <c:order val="0"/>
          <c:tx>
            <c:strRef>
              <c:f>Sheet1!$B$1</c:f>
              <c:strCache>
                <c:ptCount val="1"/>
                <c:pt idx="0">
                  <c:v>Change in EPS(%)</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100</c:v>
                </c:pt>
                <c:pt idx="1">
                  <c:v>96.614420100000004</c:v>
                </c:pt>
                <c:pt idx="2">
                  <c:v>98.871473399999942</c:v>
                </c:pt>
                <c:pt idx="3">
                  <c:v>87.836990599999979</c:v>
                </c:pt>
                <c:pt idx="4">
                  <c:v>128.40125399999999</c:v>
                </c:pt>
                <c:pt idx="5">
                  <c:v>242.69592499999999</c:v>
                </c:pt>
                <c:pt idx="6">
                  <c:v>145.39185000000001</c:v>
                </c:pt>
                <c:pt idx="7">
                  <c:v>119.12225699999998</c:v>
                </c:pt>
                <c:pt idx="8">
                  <c:v>152.91536099999999</c:v>
                </c:pt>
              </c:numCache>
            </c:numRef>
          </c:val>
          <c:extLst xmlns:c16r2="http://schemas.microsoft.com/office/drawing/2015/06/chart">
            <c:ext xmlns:c16="http://schemas.microsoft.com/office/drawing/2014/chart" uri="{C3380CC4-5D6E-409C-BE32-E72D297353CC}">
              <c16:uniqueId val="{00000000-E47E-4755-8008-2627043195F2}"/>
            </c:ext>
          </c:extLst>
        </c:ser>
        <c:gapWidth val="0"/>
        <c:axId val="77239040"/>
        <c:axId val="77240576"/>
      </c:barChart>
      <c:dateAx>
        <c:axId val="77239040"/>
        <c:scaling>
          <c:orientation val="minMax"/>
        </c:scaling>
        <c:axPos val="l"/>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40576"/>
        <c:crosses val="autoZero"/>
        <c:auto val="1"/>
        <c:lblOffset val="100"/>
        <c:baseTimeUnit val="months"/>
      </c:dateAx>
      <c:valAx>
        <c:axId val="772405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39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bar"/>
        <c:grouping val="clustered"/>
        <c:ser>
          <c:idx val="0"/>
          <c:order val="0"/>
          <c:tx>
            <c:strRef>
              <c:f>Sheet1!$B$1</c:f>
              <c:strCache>
                <c:ptCount val="1"/>
                <c:pt idx="0">
                  <c:v>Change in EPS(%)</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100</c:v>
                </c:pt>
                <c:pt idx="1">
                  <c:v>100</c:v>
                </c:pt>
                <c:pt idx="2">
                  <c:v>58.25</c:v>
                </c:pt>
                <c:pt idx="3">
                  <c:v>87.36999999999999</c:v>
                </c:pt>
                <c:pt idx="4">
                  <c:v>97.19</c:v>
                </c:pt>
                <c:pt idx="5">
                  <c:v>94.39</c:v>
                </c:pt>
                <c:pt idx="6">
                  <c:v>59.65</c:v>
                </c:pt>
                <c:pt idx="7">
                  <c:v>91.93</c:v>
                </c:pt>
                <c:pt idx="8">
                  <c:v>102.11</c:v>
                </c:pt>
              </c:numCache>
            </c:numRef>
          </c:val>
          <c:extLst xmlns:c16r2="http://schemas.microsoft.com/office/drawing/2015/06/chart">
            <c:ext xmlns:c16="http://schemas.microsoft.com/office/drawing/2014/chart" uri="{C3380CC4-5D6E-409C-BE32-E72D297353CC}">
              <c16:uniqueId val="{00000000-4AD7-439C-9C28-163D0CE14DCF}"/>
            </c:ext>
          </c:extLst>
        </c:ser>
        <c:gapWidth val="0"/>
        <c:axId val="104004224"/>
        <c:axId val="105374080"/>
      </c:barChart>
      <c:dateAx>
        <c:axId val="104004224"/>
        <c:scaling>
          <c:orientation val="minMax"/>
        </c:scaling>
        <c:axPos val="l"/>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74080"/>
        <c:crosses val="autoZero"/>
        <c:auto val="1"/>
        <c:lblOffset val="100"/>
        <c:baseTimeUnit val="months"/>
      </c:dateAx>
      <c:valAx>
        <c:axId val="1053740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04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'Screenshot 2024-02-17 142533'!$A$2</c:f>
              <c:strCache>
                <c:ptCount val="1"/>
                <c:pt idx="0">
                  <c:v>Promoters</c:v>
                </c:pt>
              </c:strCache>
            </c:strRef>
          </c:tx>
          <c:spPr>
            <a:ln w="28575" cap="rnd">
              <a:solidFill>
                <a:schemeClr val="accent1"/>
              </a:solidFill>
              <a:round/>
            </a:ln>
            <a:effectLst/>
          </c:spPr>
          <c:marker>
            <c:symbol val="none"/>
          </c:marker>
          <c:cat>
            <c:numRef>
              <c:f>'Screenshot 2024-02-17 142533'!$B$1:$J$1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142533'!$B$2:$J$2</c:f>
              <c:numCache>
                <c:formatCode>0.00%</c:formatCode>
                <c:ptCount val="9"/>
                <c:pt idx="0">
                  <c:v>0.61900000000000044</c:v>
                </c:pt>
                <c:pt idx="1">
                  <c:v>0.61900000000000044</c:v>
                </c:pt>
                <c:pt idx="2">
                  <c:v>0.61900000000000044</c:v>
                </c:pt>
                <c:pt idx="3">
                  <c:v>0.61900000000000044</c:v>
                </c:pt>
                <c:pt idx="4">
                  <c:v>0.61900000000000044</c:v>
                </c:pt>
                <c:pt idx="5">
                  <c:v>0.61900000000000044</c:v>
                </c:pt>
                <c:pt idx="6">
                  <c:v>0.61900000000000044</c:v>
                </c:pt>
                <c:pt idx="7">
                  <c:v>0.61900000000000044</c:v>
                </c:pt>
                <c:pt idx="8">
                  <c:v>0.61900000000000044</c:v>
                </c:pt>
              </c:numCache>
            </c:numRef>
          </c:val>
          <c:extLst xmlns:c16r2="http://schemas.microsoft.com/office/drawing/2015/06/chart">
            <c:ext xmlns:c16="http://schemas.microsoft.com/office/drawing/2014/chart" uri="{C3380CC4-5D6E-409C-BE32-E72D297353CC}">
              <c16:uniqueId val="{00000000-8592-41AA-A7A4-2FD519CC9EAF}"/>
            </c:ext>
          </c:extLst>
        </c:ser>
        <c:ser>
          <c:idx val="1"/>
          <c:order val="1"/>
          <c:tx>
            <c:strRef>
              <c:f>'Screenshot 2024-02-17 142533'!$A$3</c:f>
              <c:strCache>
                <c:ptCount val="1"/>
                <c:pt idx="0">
                  <c:v>FIIs</c:v>
                </c:pt>
              </c:strCache>
            </c:strRef>
          </c:tx>
          <c:spPr>
            <a:ln w="28575" cap="rnd">
              <a:solidFill>
                <a:schemeClr val="accent2"/>
              </a:solidFill>
              <a:round/>
            </a:ln>
            <a:effectLst/>
          </c:spPr>
          <c:marker>
            <c:symbol val="none"/>
          </c:marker>
          <c:cat>
            <c:numRef>
              <c:f>'Screenshot 2024-02-17 142533'!$B$1:$J$1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142533'!$B$3:$J$3</c:f>
              <c:numCache>
                <c:formatCode>0.00%</c:formatCode>
                <c:ptCount val="9"/>
                <c:pt idx="0">
                  <c:v>0.15450000000000011</c:v>
                </c:pt>
                <c:pt idx="1">
                  <c:v>0.14710000000000001</c:v>
                </c:pt>
                <c:pt idx="2">
                  <c:v>0.1366</c:v>
                </c:pt>
                <c:pt idx="3">
                  <c:v>0.13300000000000001</c:v>
                </c:pt>
                <c:pt idx="4">
                  <c:v>0.14050000000000001</c:v>
                </c:pt>
                <c:pt idx="5">
                  <c:v>0.14319999999999999</c:v>
                </c:pt>
                <c:pt idx="6">
                  <c:v>0.14360000000000001</c:v>
                </c:pt>
                <c:pt idx="7">
                  <c:v>0.14480000000000001</c:v>
                </c:pt>
                <c:pt idx="8">
                  <c:v>0.13900000000000001</c:v>
                </c:pt>
              </c:numCache>
            </c:numRef>
          </c:val>
          <c:extLst xmlns:c16r2="http://schemas.microsoft.com/office/drawing/2015/06/chart">
            <c:ext xmlns:c16="http://schemas.microsoft.com/office/drawing/2014/chart" uri="{C3380CC4-5D6E-409C-BE32-E72D297353CC}">
              <c16:uniqueId val="{00000001-8592-41AA-A7A4-2FD519CC9EAF}"/>
            </c:ext>
          </c:extLst>
        </c:ser>
        <c:ser>
          <c:idx val="2"/>
          <c:order val="2"/>
          <c:tx>
            <c:strRef>
              <c:f>'Screenshot 2024-02-17 142533'!$A$4</c:f>
              <c:strCache>
                <c:ptCount val="1"/>
                <c:pt idx="0">
                  <c:v>DIIs</c:v>
                </c:pt>
              </c:strCache>
            </c:strRef>
          </c:tx>
          <c:spPr>
            <a:ln w="28575" cap="rnd">
              <a:solidFill>
                <a:schemeClr val="accent3"/>
              </a:solidFill>
              <a:round/>
            </a:ln>
            <a:effectLst/>
          </c:spPr>
          <c:marker>
            <c:symbol val="none"/>
          </c:marker>
          <c:cat>
            <c:numRef>
              <c:f>'Screenshot 2024-02-17 142533'!$B$1:$J$1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142533'!$B$4:$J$4</c:f>
              <c:numCache>
                <c:formatCode>0.00%</c:formatCode>
                <c:ptCount val="9"/>
                <c:pt idx="0">
                  <c:v>0.1048</c:v>
                </c:pt>
                <c:pt idx="1">
                  <c:v>0.10850000000000005</c:v>
                </c:pt>
                <c:pt idx="2">
                  <c:v>0.11609999999999998</c:v>
                </c:pt>
                <c:pt idx="3">
                  <c:v>0.12200000000000005</c:v>
                </c:pt>
                <c:pt idx="4">
                  <c:v>0.11720000000000005</c:v>
                </c:pt>
                <c:pt idx="5">
                  <c:v>0.115</c:v>
                </c:pt>
                <c:pt idx="6">
                  <c:v>0.11509999999999998</c:v>
                </c:pt>
                <c:pt idx="7">
                  <c:v>0.11470000000000002</c:v>
                </c:pt>
                <c:pt idx="8">
                  <c:v>0.11899999999999998</c:v>
                </c:pt>
              </c:numCache>
            </c:numRef>
          </c:val>
          <c:extLst xmlns:c16r2="http://schemas.microsoft.com/office/drawing/2015/06/chart">
            <c:ext xmlns:c16="http://schemas.microsoft.com/office/drawing/2014/chart" uri="{C3380CC4-5D6E-409C-BE32-E72D297353CC}">
              <c16:uniqueId val="{00000002-8592-41AA-A7A4-2FD519CC9EAF}"/>
            </c:ext>
          </c:extLst>
        </c:ser>
        <c:ser>
          <c:idx val="3"/>
          <c:order val="3"/>
          <c:tx>
            <c:strRef>
              <c:f>'Screenshot 2024-02-17 142533'!$A$5</c:f>
              <c:strCache>
                <c:ptCount val="1"/>
                <c:pt idx="0">
                  <c:v>Government</c:v>
                </c:pt>
              </c:strCache>
            </c:strRef>
          </c:tx>
          <c:spPr>
            <a:ln w="28575" cap="rnd">
              <a:solidFill>
                <a:schemeClr val="accent4"/>
              </a:solidFill>
              <a:round/>
            </a:ln>
            <a:effectLst/>
          </c:spPr>
          <c:marker>
            <c:symbol val="none"/>
          </c:marker>
          <c:cat>
            <c:numRef>
              <c:f>'Screenshot 2024-02-17 142533'!$B$1:$J$1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142533'!$B$5:$J$5</c:f>
              <c:numCache>
                <c:formatCode>0.00%</c:formatCode>
                <c:ptCount val="9"/>
                <c:pt idx="0">
                  <c:v>0</c:v>
                </c:pt>
                <c:pt idx="1">
                  <c:v>0</c:v>
                </c:pt>
                <c:pt idx="2">
                  <c:v>0</c:v>
                </c:pt>
                <c:pt idx="3">
                  <c:v>0</c:v>
                </c:pt>
                <c:pt idx="4">
                  <c:v>4.0000000000000034E-4</c:v>
                </c:pt>
                <c:pt idx="5">
                  <c:v>4.0000000000000034E-4</c:v>
                </c:pt>
                <c:pt idx="6" formatCode="General">
                  <c:v>0</c:v>
                </c:pt>
                <c:pt idx="7">
                  <c:v>4.0000000000000034E-4</c:v>
                </c:pt>
                <c:pt idx="8">
                  <c:v>4.0000000000000034E-4</c:v>
                </c:pt>
              </c:numCache>
            </c:numRef>
          </c:val>
          <c:extLst xmlns:c16r2="http://schemas.microsoft.com/office/drawing/2015/06/chart">
            <c:ext xmlns:c16="http://schemas.microsoft.com/office/drawing/2014/chart" uri="{C3380CC4-5D6E-409C-BE32-E72D297353CC}">
              <c16:uniqueId val="{00000003-8592-41AA-A7A4-2FD519CC9EAF}"/>
            </c:ext>
          </c:extLst>
        </c:ser>
        <c:ser>
          <c:idx val="4"/>
          <c:order val="4"/>
          <c:tx>
            <c:strRef>
              <c:f>'Screenshot 2024-02-17 142533'!$A$6</c:f>
              <c:strCache>
                <c:ptCount val="1"/>
                <c:pt idx="0">
                  <c:v>Public</c:v>
                </c:pt>
              </c:strCache>
            </c:strRef>
          </c:tx>
          <c:spPr>
            <a:ln w="28575" cap="rnd">
              <a:solidFill>
                <a:schemeClr val="accent5"/>
              </a:solidFill>
              <a:round/>
            </a:ln>
            <a:effectLst/>
          </c:spPr>
          <c:marker>
            <c:symbol val="none"/>
          </c:marker>
          <c:cat>
            <c:numRef>
              <c:f>'Screenshot 2024-02-17 142533'!$B$1:$J$1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142533'!$B$6:$J$6</c:f>
              <c:numCache>
                <c:formatCode>0.00%</c:formatCode>
                <c:ptCount val="9"/>
                <c:pt idx="0">
                  <c:v>0.12170000000000006</c:v>
                </c:pt>
                <c:pt idx="1">
                  <c:v>0.12529999999999999</c:v>
                </c:pt>
                <c:pt idx="2">
                  <c:v>0.1283</c:v>
                </c:pt>
                <c:pt idx="3">
                  <c:v>0.126</c:v>
                </c:pt>
                <c:pt idx="4">
                  <c:v>0.12320000000000007</c:v>
                </c:pt>
                <c:pt idx="5">
                  <c:v>0.12230000000000002</c:v>
                </c:pt>
                <c:pt idx="6">
                  <c:v>0.12170000000000006</c:v>
                </c:pt>
                <c:pt idx="7">
                  <c:v>0.12089999999999998</c:v>
                </c:pt>
                <c:pt idx="8">
                  <c:v>0.12260000000000006</c:v>
                </c:pt>
              </c:numCache>
            </c:numRef>
          </c:val>
          <c:extLst xmlns:c16r2="http://schemas.microsoft.com/office/drawing/2015/06/chart">
            <c:ext xmlns:c16="http://schemas.microsoft.com/office/drawing/2014/chart" uri="{C3380CC4-5D6E-409C-BE32-E72D297353CC}">
              <c16:uniqueId val="{00000004-8592-41AA-A7A4-2FD519CC9EAF}"/>
            </c:ext>
          </c:extLst>
        </c:ser>
        <c:marker val="1"/>
        <c:axId val="103915520"/>
        <c:axId val="103917056"/>
      </c:lineChart>
      <c:dateAx>
        <c:axId val="103915520"/>
        <c:scaling>
          <c:orientation val="minMax"/>
        </c:scaling>
        <c:axPos val="b"/>
        <c:numFmt formatCode="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17056"/>
        <c:crosses val="autoZero"/>
        <c:auto val="1"/>
        <c:lblOffset val="100"/>
        <c:baseTimeUnit val="months"/>
      </c:dateAx>
      <c:valAx>
        <c:axId val="1039170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15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'Screenshot 2024-02-17 142533'!$A$10</c:f>
              <c:strCache>
                <c:ptCount val="1"/>
                <c:pt idx="0">
                  <c:v>FIIs</c:v>
                </c:pt>
              </c:strCache>
            </c:strRef>
          </c:tx>
          <c:spPr>
            <a:ln w="28575" cap="rnd">
              <a:solidFill>
                <a:schemeClr val="accent1"/>
              </a:solidFill>
              <a:round/>
            </a:ln>
            <a:effectLst/>
          </c:spPr>
          <c:marker>
            <c:symbol val="none"/>
          </c:marker>
          <c:cat>
            <c:numRef>
              <c:f>'Screenshot 2024-02-17 142533'!$B$9:$J$9</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142533'!$B$10:$J$10</c:f>
              <c:numCache>
                <c:formatCode>0.00%</c:formatCode>
                <c:ptCount val="9"/>
                <c:pt idx="0">
                  <c:v>0.10810000000000006</c:v>
                </c:pt>
                <c:pt idx="1">
                  <c:v>9.9900000000000044E-2</c:v>
                </c:pt>
                <c:pt idx="2">
                  <c:v>0.11990000000000002</c:v>
                </c:pt>
                <c:pt idx="3">
                  <c:v>0.1268</c:v>
                </c:pt>
                <c:pt idx="4">
                  <c:v>0.42680000000000023</c:v>
                </c:pt>
                <c:pt idx="5">
                  <c:v>0.42990000000000023</c:v>
                </c:pt>
                <c:pt idx="6">
                  <c:v>0.43350000000000022</c:v>
                </c:pt>
                <c:pt idx="7">
                  <c:v>0.4362000000000002</c:v>
                </c:pt>
                <c:pt idx="8">
                  <c:v>0.43340000000000023</c:v>
                </c:pt>
              </c:numCache>
            </c:numRef>
          </c:val>
          <c:extLst xmlns:c16r2="http://schemas.microsoft.com/office/drawing/2015/06/chart">
            <c:ext xmlns:c16="http://schemas.microsoft.com/office/drawing/2014/chart" uri="{C3380CC4-5D6E-409C-BE32-E72D297353CC}">
              <c16:uniqueId val="{00000000-1B87-4965-944A-FDE1C168CF21}"/>
            </c:ext>
          </c:extLst>
        </c:ser>
        <c:ser>
          <c:idx val="1"/>
          <c:order val="1"/>
          <c:tx>
            <c:strRef>
              <c:f>'Screenshot 2024-02-17 142533'!$A$11</c:f>
              <c:strCache>
                <c:ptCount val="1"/>
                <c:pt idx="0">
                  <c:v>DIIs</c:v>
                </c:pt>
              </c:strCache>
            </c:strRef>
          </c:tx>
          <c:spPr>
            <a:ln w="28575" cap="rnd">
              <a:solidFill>
                <a:schemeClr val="accent2"/>
              </a:solidFill>
              <a:round/>
            </a:ln>
            <a:effectLst/>
          </c:spPr>
          <c:marker>
            <c:symbol val="none"/>
          </c:marker>
          <c:cat>
            <c:numRef>
              <c:f>'Screenshot 2024-02-17 142533'!$B$9:$J$9</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142533'!$B$11:$J$11</c:f>
              <c:numCache>
                <c:formatCode>0.00%</c:formatCode>
                <c:ptCount val="9"/>
                <c:pt idx="0">
                  <c:v>0.4372000000000002</c:v>
                </c:pt>
                <c:pt idx="1">
                  <c:v>0.43790000000000023</c:v>
                </c:pt>
                <c:pt idx="2">
                  <c:v>0.42770000000000002</c:v>
                </c:pt>
                <c:pt idx="3">
                  <c:v>0.42820000000000008</c:v>
                </c:pt>
                <c:pt idx="4">
                  <c:v>0.42380000000000023</c:v>
                </c:pt>
                <c:pt idx="5">
                  <c:v>0.42190000000000022</c:v>
                </c:pt>
                <c:pt idx="6">
                  <c:v>0.42080000000000023</c:v>
                </c:pt>
                <c:pt idx="7">
                  <c:v>0.41940000000000022</c:v>
                </c:pt>
                <c:pt idx="8">
                  <c:v>0.41940000000000022</c:v>
                </c:pt>
              </c:numCache>
            </c:numRef>
          </c:val>
          <c:extLst xmlns:c16r2="http://schemas.microsoft.com/office/drawing/2015/06/chart">
            <c:ext xmlns:c16="http://schemas.microsoft.com/office/drawing/2014/chart" uri="{C3380CC4-5D6E-409C-BE32-E72D297353CC}">
              <c16:uniqueId val="{00000001-1B87-4965-944A-FDE1C168CF21}"/>
            </c:ext>
          </c:extLst>
        </c:ser>
        <c:ser>
          <c:idx val="2"/>
          <c:order val="2"/>
          <c:tx>
            <c:strRef>
              <c:f>'Screenshot 2024-02-17 142533'!$A$12</c:f>
              <c:strCache>
                <c:ptCount val="1"/>
                <c:pt idx="0">
                  <c:v>Government</c:v>
                </c:pt>
              </c:strCache>
            </c:strRef>
          </c:tx>
          <c:spPr>
            <a:ln w="28575" cap="rnd">
              <a:solidFill>
                <a:schemeClr val="accent3"/>
              </a:solidFill>
              <a:round/>
            </a:ln>
            <a:effectLst/>
          </c:spPr>
          <c:marker>
            <c:symbol val="none"/>
          </c:marker>
          <c:cat>
            <c:numRef>
              <c:f>'Screenshot 2024-02-17 142533'!$B$9:$J$9</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142533'!$B$12:$J$12</c:f>
              <c:numCache>
                <c:formatCode>0.00%</c:formatCode>
                <c:ptCount val="9"/>
                <c:pt idx="0">
                  <c:v>0</c:v>
                </c:pt>
                <c:pt idx="1">
                  <c:v>0</c:v>
                </c:pt>
                <c:pt idx="2">
                  <c:v>0</c:v>
                </c:pt>
                <c:pt idx="3">
                  <c:v>0</c:v>
                </c:pt>
                <c:pt idx="4">
                  <c:v>4.0000000000000034E-4</c:v>
                </c:pt>
                <c:pt idx="5">
                  <c:v>4.0000000000000034E-4</c:v>
                </c:pt>
                <c:pt idx="6">
                  <c:v>4.0000000000000034E-4</c:v>
                </c:pt>
                <c:pt idx="7">
                  <c:v>4.0000000000000034E-4</c:v>
                </c:pt>
                <c:pt idx="8">
                  <c:v>4.0000000000000034E-4</c:v>
                </c:pt>
              </c:numCache>
            </c:numRef>
          </c:val>
          <c:extLst xmlns:c16r2="http://schemas.microsoft.com/office/drawing/2015/06/chart">
            <c:ext xmlns:c16="http://schemas.microsoft.com/office/drawing/2014/chart" uri="{C3380CC4-5D6E-409C-BE32-E72D297353CC}">
              <c16:uniqueId val="{00000002-1B87-4965-944A-FDE1C168CF21}"/>
            </c:ext>
          </c:extLst>
        </c:ser>
        <c:ser>
          <c:idx val="3"/>
          <c:order val="3"/>
          <c:tx>
            <c:strRef>
              <c:f>'Screenshot 2024-02-17 142533'!$A$13</c:f>
              <c:strCache>
                <c:ptCount val="1"/>
                <c:pt idx="0">
                  <c:v>Public</c:v>
                </c:pt>
              </c:strCache>
            </c:strRef>
          </c:tx>
          <c:spPr>
            <a:ln w="28575" cap="rnd">
              <a:solidFill>
                <a:schemeClr val="accent4"/>
              </a:solidFill>
              <a:round/>
            </a:ln>
            <a:effectLst/>
          </c:spPr>
          <c:marker>
            <c:symbol val="none"/>
          </c:marker>
          <c:cat>
            <c:numRef>
              <c:f>'Screenshot 2024-02-17 142533'!$B$9:$J$9</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142533'!$B$13:$J$13</c:f>
              <c:numCache>
                <c:formatCode>0.00%</c:formatCode>
                <c:ptCount val="9"/>
                <c:pt idx="0">
                  <c:v>0.45470000000000005</c:v>
                </c:pt>
                <c:pt idx="1">
                  <c:v>0.4622</c:v>
                </c:pt>
                <c:pt idx="2">
                  <c:v>0.4622</c:v>
                </c:pt>
                <c:pt idx="3">
                  <c:v>0.44500000000000001</c:v>
                </c:pt>
                <c:pt idx="4">
                  <c:v>0.14870000000000011</c:v>
                </c:pt>
                <c:pt idx="5">
                  <c:v>0.14780000000000001</c:v>
                </c:pt>
                <c:pt idx="6">
                  <c:v>0.14520000000000011</c:v>
                </c:pt>
                <c:pt idx="7">
                  <c:v>0.14410000000000001</c:v>
                </c:pt>
                <c:pt idx="8">
                  <c:v>0.14680000000000001</c:v>
                </c:pt>
              </c:numCache>
            </c:numRef>
          </c:val>
          <c:extLst xmlns:c16r2="http://schemas.microsoft.com/office/drawing/2015/06/chart">
            <c:ext xmlns:c16="http://schemas.microsoft.com/office/drawing/2014/chart" uri="{C3380CC4-5D6E-409C-BE32-E72D297353CC}">
              <c16:uniqueId val="{00000003-1B87-4965-944A-FDE1C168CF21}"/>
            </c:ext>
          </c:extLst>
        </c:ser>
        <c:marker val="1"/>
        <c:axId val="117686656"/>
        <c:axId val="117688192"/>
      </c:lineChart>
      <c:dateAx>
        <c:axId val="117686656"/>
        <c:scaling>
          <c:orientation val="minMax"/>
        </c:scaling>
        <c:axPos val="b"/>
        <c:numFmt formatCode="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88192"/>
        <c:crosses val="autoZero"/>
        <c:auto val="1"/>
        <c:lblOffset val="100"/>
        <c:baseTimeUnit val="months"/>
      </c:dateAx>
      <c:valAx>
        <c:axId val="1176881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86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'Screenshot 2024-02-17 142533'!$A$17</c:f>
              <c:strCache>
                <c:ptCount val="1"/>
                <c:pt idx="0">
                  <c:v>Promoters</c:v>
                </c:pt>
              </c:strCache>
            </c:strRef>
          </c:tx>
          <c:spPr>
            <a:ln w="28575" cap="rnd">
              <a:solidFill>
                <a:schemeClr val="accent1"/>
              </a:solidFill>
              <a:round/>
            </a:ln>
            <a:effectLst/>
          </c:spPr>
          <c:marker>
            <c:symbol val="none"/>
          </c:marker>
          <c:cat>
            <c:numRef>
              <c:f>'Screenshot 2024-02-17 142533'!$B$16:$J$16</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142533'!$B$17:$J$17</c:f>
              <c:numCache>
                <c:formatCode>0.00%</c:formatCode>
                <c:ptCount val="9"/>
                <c:pt idx="0">
                  <c:v>0.51</c:v>
                </c:pt>
                <c:pt idx="1">
                  <c:v>0.51</c:v>
                </c:pt>
                <c:pt idx="2">
                  <c:v>0.51</c:v>
                </c:pt>
                <c:pt idx="3">
                  <c:v>0.51</c:v>
                </c:pt>
                <c:pt idx="4">
                  <c:v>0.51</c:v>
                </c:pt>
                <c:pt idx="5">
                  <c:v>0.51</c:v>
                </c:pt>
                <c:pt idx="6">
                  <c:v>0.51</c:v>
                </c:pt>
                <c:pt idx="7">
                  <c:v>0.51</c:v>
                </c:pt>
                <c:pt idx="8">
                  <c:v>0.51</c:v>
                </c:pt>
              </c:numCache>
            </c:numRef>
          </c:val>
          <c:extLst xmlns:c16r2="http://schemas.microsoft.com/office/drawing/2015/06/chart">
            <c:ext xmlns:c16="http://schemas.microsoft.com/office/drawing/2014/chart" uri="{C3380CC4-5D6E-409C-BE32-E72D297353CC}">
              <c16:uniqueId val="{00000000-AD0D-401C-9842-560373A643F8}"/>
            </c:ext>
          </c:extLst>
        </c:ser>
        <c:ser>
          <c:idx val="1"/>
          <c:order val="1"/>
          <c:tx>
            <c:strRef>
              <c:f>'Screenshot 2024-02-17 142533'!$A$18</c:f>
              <c:strCache>
                <c:ptCount val="1"/>
                <c:pt idx="0">
                  <c:v>FIIs</c:v>
                </c:pt>
              </c:strCache>
            </c:strRef>
          </c:tx>
          <c:spPr>
            <a:ln w="28575" cap="rnd">
              <a:solidFill>
                <a:schemeClr val="accent2"/>
              </a:solidFill>
              <a:round/>
            </a:ln>
            <a:effectLst/>
          </c:spPr>
          <c:marker>
            <c:symbol val="none"/>
          </c:marker>
          <c:cat>
            <c:numRef>
              <c:f>'Screenshot 2024-02-17 142533'!$B$16:$J$16</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142533'!$B$18:$J$18</c:f>
              <c:numCache>
                <c:formatCode>0.00%</c:formatCode>
                <c:ptCount val="9"/>
                <c:pt idx="0">
                  <c:v>0.19139999999999999</c:v>
                </c:pt>
                <c:pt idx="1">
                  <c:v>0.18020000000000011</c:v>
                </c:pt>
                <c:pt idx="2">
                  <c:v>0.18640000000000018</c:v>
                </c:pt>
                <c:pt idx="3">
                  <c:v>0.18700000000000011</c:v>
                </c:pt>
                <c:pt idx="4">
                  <c:v>0.1946</c:v>
                </c:pt>
                <c:pt idx="5">
                  <c:v>0.21110000000000001</c:v>
                </c:pt>
                <c:pt idx="6">
                  <c:v>0.21500000000000011</c:v>
                </c:pt>
                <c:pt idx="7">
                  <c:v>0.21800000000000011</c:v>
                </c:pt>
                <c:pt idx="8">
                  <c:v>0.24080000000000001</c:v>
                </c:pt>
              </c:numCache>
            </c:numRef>
          </c:val>
          <c:extLst xmlns:c16r2="http://schemas.microsoft.com/office/drawing/2015/06/chart">
            <c:ext xmlns:c16="http://schemas.microsoft.com/office/drawing/2014/chart" uri="{C3380CC4-5D6E-409C-BE32-E72D297353CC}">
              <c16:uniqueId val="{00000001-AD0D-401C-9842-560373A643F8}"/>
            </c:ext>
          </c:extLst>
        </c:ser>
        <c:ser>
          <c:idx val="2"/>
          <c:order val="2"/>
          <c:tx>
            <c:strRef>
              <c:f>'Screenshot 2024-02-17 142533'!$A$19</c:f>
              <c:strCache>
                <c:ptCount val="1"/>
                <c:pt idx="0">
                  <c:v>DIIs</c:v>
                </c:pt>
              </c:strCache>
            </c:strRef>
          </c:tx>
          <c:spPr>
            <a:ln w="28575" cap="rnd">
              <a:solidFill>
                <a:schemeClr val="accent3"/>
              </a:solidFill>
              <a:round/>
            </a:ln>
            <a:effectLst/>
          </c:spPr>
          <c:marker>
            <c:symbol val="none"/>
          </c:marker>
          <c:cat>
            <c:numRef>
              <c:f>'Screenshot 2024-02-17 142533'!$B$16:$J$16</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142533'!$B$19:$J$19</c:f>
              <c:numCache>
                <c:formatCode>0.00%</c:formatCode>
                <c:ptCount val="9"/>
                <c:pt idx="0">
                  <c:v>7.4200000000000002E-2</c:v>
                </c:pt>
                <c:pt idx="1">
                  <c:v>8.1700000000000023E-2</c:v>
                </c:pt>
                <c:pt idx="2">
                  <c:v>8.0700000000000063E-2</c:v>
                </c:pt>
                <c:pt idx="3">
                  <c:v>8.8300000000000045E-2</c:v>
                </c:pt>
                <c:pt idx="4">
                  <c:v>8.9900000000000063E-2</c:v>
                </c:pt>
                <c:pt idx="5">
                  <c:v>7.5500000000000012E-2</c:v>
                </c:pt>
                <c:pt idx="6">
                  <c:v>7.3400000000000021E-2</c:v>
                </c:pt>
                <c:pt idx="7">
                  <c:v>7.5200000000000003E-2</c:v>
                </c:pt>
                <c:pt idx="8">
                  <c:v>5.5900000000000012E-2</c:v>
                </c:pt>
              </c:numCache>
            </c:numRef>
          </c:val>
          <c:extLst xmlns:c16r2="http://schemas.microsoft.com/office/drawing/2015/06/chart">
            <c:ext xmlns:c16="http://schemas.microsoft.com/office/drawing/2014/chart" uri="{C3380CC4-5D6E-409C-BE32-E72D297353CC}">
              <c16:uniqueId val="{00000002-AD0D-401C-9842-560373A643F8}"/>
            </c:ext>
          </c:extLst>
        </c:ser>
        <c:ser>
          <c:idx val="3"/>
          <c:order val="3"/>
          <c:tx>
            <c:strRef>
              <c:f>'Screenshot 2024-02-17 142533'!$A$20</c:f>
              <c:strCache>
                <c:ptCount val="1"/>
                <c:pt idx="0">
                  <c:v>Government</c:v>
                </c:pt>
              </c:strCache>
            </c:strRef>
          </c:tx>
          <c:spPr>
            <a:ln w="28575" cap="rnd">
              <a:solidFill>
                <a:schemeClr val="accent4"/>
              </a:solidFill>
              <a:round/>
            </a:ln>
            <a:effectLst/>
          </c:spPr>
          <c:marker>
            <c:symbol val="none"/>
          </c:marker>
          <c:cat>
            <c:numRef>
              <c:f>'Screenshot 2024-02-17 142533'!$B$16:$J$16</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142533'!$B$20:$J$20</c:f>
              <c:numCache>
                <c:formatCode>0.00%</c:formatCode>
                <c:ptCount val="9"/>
                <c:pt idx="0">
                  <c:v>2.8000000000000017E-3</c:v>
                </c:pt>
                <c:pt idx="1">
                  <c:v>2.8000000000000017E-3</c:v>
                </c:pt>
                <c:pt idx="2">
                  <c:v>2.8000000000000017E-3</c:v>
                </c:pt>
                <c:pt idx="3">
                  <c:v>2.8999999999999998E-3</c:v>
                </c:pt>
                <c:pt idx="4">
                  <c:v>2.8000000000000017E-3</c:v>
                </c:pt>
                <c:pt idx="5">
                  <c:v>2.8000000000000017E-3</c:v>
                </c:pt>
                <c:pt idx="6">
                  <c:v>2.8000000000000017E-3</c:v>
                </c:pt>
                <c:pt idx="7">
                  <c:v>2.8000000000000017E-3</c:v>
                </c:pt>
                <c:pt idx="8">
                  <c:v>2.8000000000000017E-3</c:v>
                </c:pt>
              </c:numCache>
            </c:numRef>
          </c:val>
          <c:extLst xmlns:c16r2="http://schemas.microsoft.com/office/drawing/2015/06/chart">
            <c:ext xmlns:c16="http://schemas.microsoft.com/office/drawing/2014/chart" uri="{C3380CC4-5D6E-409C-BE32-E72D297353CC}">
              <c16:uniqueId val="{00000003-AD0D-401C-9842-560373A643F8}"/>
            </c:ext>
          </c:extLst>
        </c:ser>
        <c:ser>
          <c:idx val="4"/>
          <c:order val="4"/>
          <c:tx>
            <c:strRef>
              <c:f>'Screenshot 2024-02-17 142533'!$A$21</c:f>
              <c:strCache>
                <c:ptCount val="1"/>
                <c:pt idx="0">
                  <c:v>Public</c:v>
                </c:pt>
              </c:strCache>
            </c:strRef>
          </c:tx>
          <c:spPr>
            <a:ln w="28575" cap="rnd">
              <a:solidFill>
                <a:schemeClr val="accent5"/>
              </a:solidFill>
              <a:round/>
            </a:ln>
            <a:effectLst/>
          </c:spPr>
          <c:marker>
            <c:symbol val="none"/>
          </c:marker>
          <c:cat>
            <c:numRef>
              <c:f>'Screenshot 2024-02-17 142533'!$B$16:$J$16</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142533'!$B$21:$J$21</c:f>
              <c:numCache>
                <c:formatCode>0.00%</c:formatCode>
                <c:ptCount val="9"/>
                <c:pt idx="0">
                  <c:v>0.22159999999999999</c:v>
                </c:pt>
                <c:pt idx="1">
                  <c:v>0.2253</c:v>
                </c:pt>
                <c:pt idx="2">
                  <c:v>0.22009999999999999</c:v>
                </c:pt>
                <c:pt idx="3">
                  <c:v>0.21190000000000012</c:v>
                </c:pt>
                <c:pt idx="4">
                  <c:v>0.20250000000000001</c:v>
                </c:pt>
                <c:pt idx="5">
                  <c:v>0.20050000000000001</c:v>
                </c:pt>
                <c:pt idx="6">
                  <c:v>0.19869999999999999</c:v>
                </c:pt>
                <c:pt idx="7">
                  <c:v>0.19409999999999999</c:v>
                </c:pt>
                <c:pt idx="8">
                  <c:v>0.1903</c:v>
                </c:pt>
              </c:numCache>
            </c:numRef>
          </c:val>
          <c:extLst xmlns:c16r2="http://schemas.microsoft.com/office/drawing/2015/06/chart">
            <c:ext xmlns:c16="http://schemas.microsoft.com/office/drawing/2014/chart" uri="{C3380CC4-5D6E-409C-BE32-E72D297353CC}">
              <c16:uniqueId val="{00000004-AD0D-401C-9842-560373A643F8}"/>
            </c:ext>
          </c:extLst>
        </c:ser>
        <c:marker val="1"/>
        <c:axId val="100087296"/>
        <c:axId val="100088832"/>
      </c:lineChart>
      <c:dateAx>
        <c:axId val="100087296"/>
        <c:scaling>
          <c:orientation val="minMax"/>
        </c:scaling>
        <c:axPos val="b"/>
        <c:numFmt formatCode="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88832"/>
        <c:crosses val="autoZero"/>
        <c:auto val="1"/>
        <c:lblOffset val="100"/>
        <c:baseTimeUnit val="months"/>
      </c:dateAx>
      <c:valAx>
        <c:axId val="10008883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87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'Screenshot 2024-02-17 142533'!$A$24</c:f>
              <c:strCache>
                <c:ptCount val="1"/>
                <c:pt idx="0">
                  <c:v>Promoters</c:v>
                </c:pt>
              </c:strCache>
            </c:strRef>
          </c:tx>
          <c:spPr>
            <a:ln w="28575" cap="rnd">
              <a:solidFill>
                <a:schemeClr val="accent1"/>
              </a:solidFill>
              <a:round/>
            </a:ln>
            <a:effectLst/>
          </c:spPr>
          <c:marker>
            <c:symbol val="none"/>
          </c:marker>
          <c:cat>
            <c:numRef>
              <c:f>'Screenshot 2024-02-17 142533'!$B$23:$J$23</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142533'!$B$24:$J$24</c:f>
              <c:numCache>
                <c:formatCode>0.00%</c:formatCode>
                <c:ptCount val="9"/>
                <c:pt idx="0">
                  <c:v>0.50549999999999951</c:v>
                </c:pt>
                <c:pt idx="1">
                  <c:v>0.50549999999999951</c:v>
                </c:pt>
                <c:pt idx="2">
                  <c:v>0.50549999999999951</c:v>
                </c:pt>
                <c:pt idx="3">
                  <c:v>0.50549999999999951</c:v>
                </c:pt>
                <c:pt idx="4">
                  <c:v>0.50549999999999951</c:v>
                </c:pt>
                <c:pt idx="5">
                  <c:v>0.50549999999999951</c:v>
                </c:pt>
                <c:pt idx="6">
                  <c:v>0.50549999999999951</c:v>
                </c:pt>
                <c:pt idx="7">
                  <c:v>0.50549999999999951</c:v>
                </c:pt>
                <c:pt idx="8">
                  <c:v>0.50549999999999951</c:v>
                </c:pt>
              </c:numCache>
            </c:numRef>
          </c:val>
          <c:extLst xmlns:c16r2="http://schemas.microsoft.com/office/drawing/2015/06/chart">
            <c:ext xmlns:c16="http://schemas.microsoft.com/office/drawing/2014/chart" uri="{C3380CC4-5D6E-409C-BE32-E72D297353CC}">
              <c16:uniqueId val="{00000000-E2DD-48C7-8C8B-1DB5F5864996}"/>
            </c:ext>
          </c:extLst>
        </c:ser>
        <c:ser>
          <c:idx val="1"/>
          <c:order val="1"/>
          <c:tx>
            <c:strRef>
              <c:f>'Screenshot 2024-02-17 142533'!$A$25</c:f>
              <c:strCache>
                <c:ptCount val="1"/>
                <c:pt idx="0">
                  <c:v>FIIs</c:v>
                </c:pt>
              </c:strCache>
            </c:strRef>
          </c:tx>
          <c:spPr>
            <a:ln w="28575" cap="rnd">
              <a:solidFill>
                <a:schemeClr val="accent2"/>
              </a:solidFill>
              <a:round/>
            </a:ln>
            <a:effectLst/>
          </c:spPr>
          <c:marker>
            <c:symbol val="none"/>
          </c:marker>
          <c:cat>
            <c:numRef>
              <c:f>'Screenshot 2024-02-17 142533'!$B$23:$J$23</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142533'!$B$25:$J$25</c:f>
              <c:numCache>
                <c:formatCode>0.00%</c:formatCode>
                <c:ptCount val="9"/>
                <c:pt idx="0">
                  <c:v>0.1765000000000001</c:v>
                </c:pt>
                <c:pt idx="1">
                  <c:v>0.17590000000000011</c:v>
                </c:pt>
                <c:pt idx="2">
                  <c:v>0.17169999999999999</c:v>
                </c:pt>
                <c:pt idx="3">
                  <c:v>0.16650000000000001</c:v>
                </c:pt>
                <c:pt idx="4">
                  <c:v>0.17180000000000001</c:v>
                </c:pt>
                <c:pt idx="5">
                  <c:v>0.18460000000000001</c:v>
                </c:pt>
                <c:pt idx="6" formatCode="0%">
                  <c:v>0.19439999999999999</c:v>
                </c:pt>
                <c:pt idx="7">
                  <c:v>0.21290000000000012</c:v>
                </c:pt>
                <c:pt idx="8">
                  <c:v>0.1966</c:v>
                </c:pt>
              </c:numCache>
            </c:numRef>
          </c:val>
          <c:extLst xmlns:c16r2="http://schemas.microsoft.com/office/drawing/2015/06/chart">
            <c:ext xmlns:c16="http://schemas.microsoft.com/office/drawing/2014/chart" uri="{C3380CC4-5D6E-409C-BE32-E72D297353CC}">
              <c16:uniqueId val="{00000001-E2DD-48C7-8C8B-1DB5F5864996}"/>
            </c:ext>
          </c:extLst>
        </c:ser>
        <c:ser>
          <c:idx val="2"/>
          <c:order val="2"/>
          <c:tx>
            <c:strRef>
              <c:f>'Screenshot 2024-02-17 142533'!$A$26</c:f>
              <c:strCache>
                <c:ptCount val="1"/>
                <c:pt idx="0">
                  <c:v>DIIs</c:v>
                </c:pt>
              </c:strCache>
            </c:strRef>
          </c:tx>
          <c:spPr>
            <a:ln w="28575" cap="rnd">
              <a:solidFill>
                <a:schemeClr val="accent3"/>
              </a:solidFill>
              <a:round/>
            </a:ln>
            <a:effectLst/>
          </c:spPr>
          <c:marker>
            <c:symbol val="none"/>
          </c:marker>
          <c:cat>
            <c:numRef>
              <c:f>'Screenshot 2024-02-17 142533'!$B$23:$J$23</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142533'!$B$26:$J$26</c:f>
              <c:numCache>
                <c:formatCode>0.00%</c:formatCode>
                <c:ptCount val="9"/>
                <c:pt idx="0">
                  <c:v>0.1153</c:v>
                </c:pt>
                <c:pt idx="1">
                  <c:v>0.1153</c:v>
                </c:pt>
                <c:pt idx="2">
                  <c:v>0.1153</c:v>
                </c:pt>
                <c:pt idx="3">
                  <c:v>8.7400000000000005E-2</c:v>
                </c:pt>
                <c:pt idx="4">
                  <c:v>0.16120000000000001</c:v>
                </c:pt>
                <c:pt idx="5">
                  <c:v>0.1508000000000001</c:v>
                </c:pt>
                <c:pt idx="6">
                  <c:v>0.14219999999999999</c:v>
                </c:pt>
                <c:pt idx="7">
                  <c:v>0.12460000000000006</c:v>
                </c:pt>
                <c:pt idx="8">
                  <c:v>0.13840000000000011</c:v>
                </c:pt>
              </c:numCache>
            </c:numRef>
          </c:val>
          <c:extLst xmlns:c16r2="http://schemas.microsoft.com/office/drawing/2015/06/chart">
            <c:ext xmlns:c16="http://schemas.microsoft.com/office/drawing/2014/chart" uri="{C3380CC4-5D6E-409C-BE32-E72D297353CC}">
              <c16:uniqueId val="{00000002-E2DD-48C7-8C8B-1DB5F5864996}"/>
            </c:ext>
          </c:extLst>
        </c:ser>
        <c:ser>
          <c:idx val="3"/>
          <c:order val="3"/>
          <c:tx>
            <c:strRef>
              <c:f>'Screenshot 2024-02-17 142533'!$A$27</c:f>
              <c:strCache>
                <c:ptCount val="1"/>
                <c:pt idx="0">
                  <c:v>Public</c:v>
                </c:pt>
              </c:strCache>
            </c:strRef>
          </c:tx>
          <c:spPr>
            <a:ln w="28575" cap="rnd">
              <a:solidFill>
                <a:schemeClr val="accent4"/>
              </a:solidFill>
              <a:round/>
            </a:ln>
            <a:effectLst/>
          </c:spPr>
          <c:marker>
            <c:symbol val="none"/>
          </c:marker>
          <c:cat>
            <c:numRef>
              <c:f>'Screenshot 2024-02-17 142533'!$B$23:$J$23</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142533'!$B$27:$J$27</c:f>
              <c:numCache>
                <c:formatCode>0.00%</c:formatCode>
                <c:ptCount val="9"/>
                <c:pt idx="0">
                  <c:v>0.20280000000000001</c:v>
                </c:pt>
                <c:pt idx="1">
                  <c:v>0.20340000000000011</c:v>
                </c:pt>
                <c:pt idx="2">
                  <c:v>0.20340000000000011</c:v>
                </c:pt>
                <c:pt idx="3">
                  <c:v>0.24060000000000001</c:v>
                </c:pt>
                <c:pt idx="4">
                  <c:v>0.16139999999999999</c:v>
                </c:pt>
                <c:pt idx="5">
                  <c:v>0.15900000000000011</c:v>
                </c:pt>
                <c:pt idx="6">
                  <c:v>0.15690000000000018</c:v>
                </c:pt>
                <c:pt idx="7">
                  <c:v>0.15690000000000018</c:v>
                </c:pt>
                <c:pt idx="8">
                  <c:v>0.15940000000000012</c:v>
                </c:pt>
              </c:numCache>
            </c:numRef>
          </c:val>
          <c:extLst xmlns:c16r2="http://schemas.microsoft.com/office/drawing/2015/06/chart">
            <c:ext xmlns:c16="http://schemas.microsoft.com/office/drawing/2014/chart" uri="{C3380CC4-5D6E-409C-BE32-E72D297353CC}">
              <c16:uniqueId val="{00000003-E2DD-48C7-8C8B-1DB5F5864996}"/>
            </c:ext>
          </c:extLst>
        </c:ser>
        <c:ser>
          <c:idx val="4"/>
          <c:order val="4"/>
          <c:tx>
            <c:strRef>
              <c:f>'Screenshot 2024-02-17 142533'!$A$28</c:f>
              <c:strCache>
                <c:ptCount val="1"/>
              </c:strCache>
            </c:strRef>
          </c:tx>
          <c:spPr>
            <a:ln w="28575" cap="rnd">
              <a:solidFill>
                <a:schemeClr val="accent5"/>
              </a:solidFill>
              <a:round/>
            </a:ln>
            <a:effectLst/>
          </c:spPr>
          <c:marker>
            <c:symbol val="none"/>
          </c:marker>
          <c:cat>
            <c:numRef>
              <c:f>'Screenshot 2024-02-17 142533'!$B$23:$J$23</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142533'!$B$28:$J$28</c:f>
              <c:numCache>
                <c:formatCode>General</c:formatCode>
                <c:ptCount val="9"/>
              </c:numCache>
            </c:numRef>
          </c:val>
          <c:extLst xmlns:c16r2="http://schemas.microsoft.com/office/drawing/2015/06/chart">
            <c:ext xmlns:c16="http://schemas.microsoft.com/office/drawing/2014/chart" uri="{C3380CC4-5D6E-409C-BE32-E72D297353CC}">
              <c16:uniqueId val="{00000004-E2DD-48C7-8C8B-1DB5F5864996}"/>
            </c:ext>
          </c:extLst>
        </c:ser>
        <c:marker val="1"/>
        <c:axId val="120806016"/>
        <c:axId val="120881536"/>
      </c:lineChart>
      <c:dateAx>
        <c:axId val="120806016"/>
        <c:scaling>
          <c:orientation val="minMax"/>
        </c:scaling>
        <c:axPos val="b"/>
        <c:numFmt formatCode="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81536"/>
        <c:crosses val="autoZero"/>
        <c:auto val="1"/>
        <c:lblOffset val="100"/>
        <c:baseTimeUnit val="months"/>
      </c:dateAx>
      <c:valAx>
        <c:axId val="12088153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06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Net</a:t>
            </a:r>
            <a:r>
              <a:rPr lang="en-IN" baseline="0"/>
              <a:t> Profit Ratio</a:t>
            </a:r>
          </a:p>
          <a:p>
            <a:pPr>
              <a:defRPr sz="1600" b="1" i="0" u="none" strike="noStrike" kern="1200" baseline="0">
                <a:solidFill>
                  <a:schemeClr val="tx2"/>
                </a:solidFill>
                <a:latin typeface="+mn-lt"/>
                <a:ea typeface="+mn-ea"/>
                <a:cs typeface="+mn-cs"/>
              </a:defRPr>
            </a:pPr>
            <a:endParaRPr lang="en-IN"/>
          </a:p>
        </c:rich>
      </c:tx>
      <c:layout>
        <c:manualLayout>
          <c:xMode val="edge"/>
          <c:yMode val="edge"/>
          <c:x val="0.36198490813648326"/>
          <c:y val="2.5252525252525249E-2"/>
        </c:manualLayout>
      </c:layout>
      <c:spPr>
        <a:noFill/>
        <a:ln>
          <a:noFill/>
        </a:ln>
        <a:effectLst/>
      </c:spPr>
    </c:title>
    <c:plotArea>
      <c:layout>
        <c:manualLayout>
          <c:layoutTarget val="inner"/>
          <c:xMode val="edge"/>
          <c:yMode val="edge"/>
          <c:x val="6.7058180227471564E-2"/>
          <c:y val="0.23436507936507936"/>
          <c:w val="0.91905293088363949"/>
          <c:h val="0.51546244219472559"/>
        </c:manualLayout>
      </c:layout>
      <c:barChart>
        <c:barDir val="col"/>
        <c:grouping val="stacked"/>
        <c:ser>
          <c:idx val="0"/>
          <c:order val="0"/>
          <c:tx>
            <c:strRef>
              <c:f>Sheet1!$B$1</c:f>
              <c:strCache>
                <c:ptCount val="1"/>
                <c:pt idx="0">
                  <c:v>Net profit ratio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27.38</c:v>
                </c:pt>
                <c:pt idx="1">
                  <c:v>24.12</c:v>
                </c:pt>
                <c:pt idx="2">
                  <c:v>25.77</c:v>
                </c:pt>
                <c:pt idx="3">
                  <c:v>24.19</c:v>
                </c:pt>
                <c:pt idx="4">
                  <c:v>27.37</c:v>
                </c:pt>
                <c:pt idx="5">
                  <c:v>28.69</c:v>
                </c:pt>
                <c:pt idx="6">
                  <c:v>29.73</c:v>
                </c:pt>
                <c:pt idx="7">
                  <c:v>30.24</c:v>
                </c:pt>
                <c:pt idx="8">
                  <c:v>27.93</c:v>
                </c:pt>
              </c:numCache>
            </c:numRef>
          </c:val>
          <c:extLst xmlns:c16r2="http://schemas.microsoft.com/office/drawing/2015/06/chart">
            <c:ext xmlns:c16="http://schemas.microsoft.com/office/drawing/2014/chart" uri="{C3380CC4-5D6E-409C-BE32-E72D297353CC}">
              <c16:uniqueId val="{00000000-7858-4764-B0DE-3D7F07BDC9A8}"/>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7858-4764-B0DE-3D7F07BDC9A8}"/>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7858-4764-B0DE-3D7F07BDC9A8}"/>
            </c:ext>
          </c:extLst>
        </c:ser>
        <c:gapWidth val="0"/>
        <c:overlap val="100"/>
        <c:axId val="169086976"/>
        <c:axId val="169089280"/>
      </c:barChart>
      <c:dateAx>
        <c:axId val="169086976"/>
        <c:scaling>
          <c:orientation val="minMax"/>
        </c:scaling>
        <c:axPos val="b"/>
        <c:numFmt formatCode="mmm\-yy"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9089280"/>
        <c:crosses val="autoZero"/>
        <c:auto val="1"/>
        <c:lblOffset val="100"/>
        <c:baseTimeUnit val="months"/>
      </c:dateAx>
      <c:valAx>
        <c:axId val="16908928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9086976"/>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'Screenshot 2024-02-17 142533'!$A$31</c:f>
              <c:strCache>
                <c:ptCount val="1"/>
                <c:pt idx="0">
                  <c:v>Promoters</c:v>
                </c:pt>
              </c:strCache>
            </c:strRef>
          </c:tx>
          <c:spPr>
            <a:ln w="28575" cap="rnd">
              <a:solidFill>
                <a:schemeClr val="accent1"/>
              </a:solidFill>
              <a:round/>
            </a:ln>
            <a:effectLst/>
          </c:spPr>
          <c:marker>
            <c:symbol val="none"/>
          </c:marker>
          <c:cat>
            <c:numRef>
              <c:f>'Screenshot 2024-02-17 142533'!$B$30:$J$30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142533'!$B$31:$J$31</c:f>
              <c:numCache>
                <c:formatCode>0.00%</c:formatCode>
                <c:ptCount val="9"/>
                <c:pt idx="0">
                  <c:v>0.67360000000000075</c:v>
                </c:pt>
                <c:pt idx="1">
                  <c:v>0.67370000000000074</c:v>
                </c:pt>
                <c:pt idx="2">
                  <c:v>0.67380000000000073</c:v>
                </c:pt>
                <c:pt idx="3">
                  <c:v>0.67240000000000044</c:v>
                </c:pt>
                <c:pt idx="4">
                  <c:v>0.67230000000000045</c:v>
                </c:pt>
                <c:pt idx="5">
                  <c:v>0.66230000000000044</c:v>
                </c:pt>
                <c:pt idx="6">
                  <c:v>0.66230000000000044</c:v>
                </c:pt>
                <c:pt idx="7">
                  <c:v>0.66240000000000043</c:v>
                </c:pt>
                <c:pt idx="8">
                  <c:v>0.66240000000000043</c:v>
                </c:pt>
              </c:numCache>
            </c:numRef>
          </c:val>
          <c:extLst xmlns:c16r2="http://schemas.microsoft.com/office/drawing/2015/06/chart">
            <c:ext xmlns:c16="http://schemas.microsoft.com/office/drawing/2014/chart" uri="{C3380CC4-5D6E-409C-BE32-E72D297353CC}">
              <c16:uniqueId val="{00000000-9A78-4E40-837F-81F5ED287455}"/>
            </c:ext>
          </c:extLst>
        </c:ser>
        <c:ser>
          <c:idx val="1"/>
          <c:order val="1"/>
          <c:tx>
            <c:strRef>
              <c:f>'Screenshot 2024-02-17 142533'!$A$32</c:f>
              <c:strCache>
                <c:ptCount val="1"/>
                <c:pt idx="0">
                  <c:v>FIIs</c:v>
                </c:pt>
              </c:strCache>
            </c:strRef>
          </c:tx>
          <c:spPr>
            <a:ln w="28575" cap="rnd">
              <a:solidFill>
                <a:schemeClr val="accent2"/>
              </a:solidFill>
              <a:round/>
            </a:ln>
            <a:effectLst/>
          </c:spPr>
          <c:marker>
            <c:symbol val="none"/>
          </c:marker>
          <c:cat>
            <c:numRef>
              <c:f>'Screenshot 2024-02-17 142533'!$B$30:$J$30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142533'!$B$32:$J$32</c:f>
              <c:numCache>
                <c:formatCode>0.00%</c:formatCode>
                <c:ptCount val="9"/>
                <c:pt idx="0">
                  <c:v>0.21350000000000011</c:v>
                </c:pt>
                <c:pt idx="1">
                  <c:v>0.21110000000000001</c:v>
                </c:pt>
                <c:pt idx="2">
                  <c:v>0.20430000000000001</c:v>
                </c:pt>
                <c:pt idx="3">
                  <c:v>0.20230000000000001</c:v>
                </c:pt>
                <c:pt idx="4">
                  <c:v>0.20240000000000011</c:v>
                </c:pt>
                <c:pt idx="5">
                  <c:v>0.20469999999999999</c:v>
                </c:pt>
                <c:pt idx="6">
                  <c:v>0.1973</c:v>
                </c:pt>
                <c:pt idx="7">
                  <c:v>0.19389999999999999</c:v>
                </c:pt>
                <c:pt idx="8">
                  <c:v>0.18370000000000011</c:v>
                </c:pt>
              </c:numCache>
            </c:numRef>
          </c:val>
          <c:extLst xmlns:c16r2="http://schemas.microsoft.com/office/drawing/2015/06/chart">
            <c:ext xmlns:c16="http://schemas.microsoft.com/office/drawing/2014/chart" uri="{C3380CC4-5D6E-409C-BE32-E72D297353CC}">
              <c16:uniqueId val="{00000001-9A78-4E40-837F-81F5ED287455}"/>
            </c:ext>
          </c:extLst>
        </c:ser>
        <c:ser>
          <c:idx val="2"/>
          <c:order val="2"/>
          <c:tx>
            <c:strRef>
              <c:f>'Screenshot 2024-02-17 142533'!$A$33</c:f>
              <c:strCache>
                <c:ptCount val="1"/>
                <c:pt idx="0">
                  <c:v>DIIs</c:v>
                </c:pt>
              </c:strCache>
            </c:strRef>
          </c:tx>
          <c:spPr>
            <a:ln w="28575" cap="rnd">
              <a:solidFill>
                <a:schemeClr val="accent3"/>
              </a:solidFill>
              <a:round/>
            </a:ln>
            <a:effectLst/>
          </c:spPr>
          <c:marker>
            <c:symbol val="none"/>
          </c:marker>
          <c:cat>
            <c:numRef>
              <c:f>'Screenshot 2024-02-17 142533'!$B$30:$J$30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142533'!$B$33:$J$33</c:f>
              <c:numCache>
                <c:formatCode>0.00%</c:formatCode>
                <c:ptCount val="9"/>
                <c:pt idx="0">
                  <c:v>3.4099999999999998E-2</c:v>
                </c:pt>
                <c:pt idx="1">
                  <c:v>3.5900000000000001E-2</c:v>
                </c:pt>
                <c:pt idx="2">
                  <c:v>3.8300000000000001E-2</c:v>
                </c:pt>
                <c:pt idx="3">
                  <c:v>4.0400000000000012E-2</c:v>
                </c:pt>
                <c:pt idx="4">
                  <c:v>6.5699999999999995E-2</c:v>
                </c:pt>
                <c:pt idx="5">
                  <c:v>7.4800000000000033E-2</c:v>
                </c:pt>
                <c:pt idx="6">
                  <c:v>8.3100000000000063E-2</c:v>
                </c:pt>
                <c:pt idx="7">
                  <c:v>8.7500000000000008E-2</c:v>
                </c:pt>
                <c:pt idx="8">
                  <c:v>9.7800000000000026E-2</c:v>
                </c:pt>
              </c:numCache>
            </c:numRef>
          </c:val>
          <c:extLst xmlns:c16r2="http://schemas.microsoft.com/office/drawing/2015/06/chart">
            <c:ext xmlns:c16="http://schemas.microsoft.com/office/drawing/2014/chart" uri="{C3380CC4-5D6E-409C-BE32-E72D297353CC}">
              <c16:uniqueId val="{00000002-9A78-4E40-837F-81F5ED287455}"/>
            </c:ext>
          </c:extLst>
        </c:ser>
        <c:ser>
          <c:idx val="3"/>
          <c:order val="3"/>
          <c:tx>
            <c:strRef>
              <c:f>'Screenshot 2024-02-17 142533'!$A$34</c:f>
              <c:strCache>
                <c:ptCount val="1"/>
                <c:pt idx="0">
                  <c:v>Government</c:v>
                </c:pt>
              </c:strCache>
            </c:strRef>
          </c:tx>
          <c:spPr>
            <a:ln w="28575" cap="rnd">
              <a:solidFill>
                <a:schemeClr val="accent4"/>
              </a:solidFill>
              <a:round/>
            </a:ln>
            <a:effectLst/>
          </c:spPr>
          <c:marker>
            <c:symbol val="none"/>
          </c:marker>
          <c:cat>
            <c:numRef>
              <c:f>'Screenshot 2024-02-17 142533'!$B$30:$J$30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142533'!$B$34:$J$34</c:f>
              <c:numCache>
                <c:formatCode>0.00%</c:formatCode>
                <c:ptCount val="9"/>
                <c:pt idx="0">
                  <c:v>0</c:v>
                </c:pt>
                <c:pt idx="1">
                  <c:v>0</c:v>
                </c:pt>
                <c:pt idx="2">
                  <c:v>0</c:v>
                </c:pt>
                <c:pt idx="3">
                  <c:v>0</c:v>
                </c:pt>
                <c:pt idx="4">
                  <c:v>6.0000000000000049E-4</c:v>
                </c:pt>
                <c:pt idx="5">
                  <c:v>7.0000000000000043E-4</c:v>
                </c:pt>
                <c:pt idx="6">
                  <c:v>7.0000000000000043E-4</c:v>
                </c:pt>
                <c:pt idx="7">
                  <c:v>7.0000000000000043E-4</c:v>
                </c:pt>
                <c:pt idx="8">
                  <c:v>7.0000000000000043E-4</c:v>
                </c:pt>
              </c:numCache>
            </c:numRef>
          </c:val>
          <c:extLst xmlns:c16r2="http://schemas.microsoft.com/office/drawing/2015/06/chart">
            <c:ext xmlns:c16="http://schemas.microsoft.com/office/drawing/2014/chart" uri="{C3380CC4-5D6E-409C-BE32-E72D297353CC}">
              <c16:uniqueId val="{00000003-9A78-4E40-837F-81F5ED287455}"/>
            </c:ext>
          </c:extLst>
        </c:ser>
        <c:ser>
          <c:idx val="4"/>
          <c:order val="4"/>
          <c:tx>
            <c:strRef>
              <c:f>'Screenshot 2024-02-17 142533'!$A$35</c:f>
              <c:strCache>
                <c:ptCount val="1"/>
                <c:pt idx="0">
                  <c:v>Public</c:v>
                </c:pt>
              </c:strCache>
            </c:strRef>
          </c:tx>
          <c:spPr>
            <a:ln w="28575" cap="rnd">
              <a:solidFill>
                <a:schemeClr val="accent5"/>
              </a:solidFill>
              <a:round/>
            </a:ln>
            <a:effectLst/>
          </c:spPr>
          <c:marker>
            <c:symbol val="none"/>
          </c:marker>
          <c:cat>
            <c:numRef>
              <c:f>'Screenshot 2024-02-17 142533'!$B$30:$J$30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'Screenshot 2024-02-17 142533'!$B$35:$J$35</c:f>
              <c:numCache>
                <c:formatCode>0.00%</c:formatCode>
                <c:ptCount val="9"/>
                <c:pt idx="0">
                  <c:v>7.8700000000000034E-2</c:v>
                </c:pt>
                <c:pt idx="1">
                  <c:v>7.9300000000000051E-2</c:v>
                </c:pt>
                <c:pt idx="2">
                  <c:v>8.3600000000000091E-2</c:v>
                </c:pt>
                <c:pt idx="3">
                  <c:v>8.0500000000000071E-2</c:v>
                </c:pt>
                <c:pt idx="4">
                  <c:v>5.8900000000000001E-2</c:v>
                </c:pt>
                <c:pt idx="5">
                  <c:v>5.7400000000000034E-2</c:v>
                </c:pt>
                <c:pt idx="6">
                  <c:v>5.6500000000000002E-2</c:v>
                </c:pt>
                <c:pt idx="7">
                  <c:v>5.5700000000000034E-2</c:v>
                </c:pt>
                <c:pt idx="8">
                  <c:v>5.5400000000000033E-2</c:v>
                </c:pt>
              </c:numCache>
            </c:numRef>
          </c:val>
          <c:extLst xmlns:c16r2="http://schemas.microsoft.com/office/drawing/2015/06/chart">
            <c:ext xmlns:c16="http://schemas.microsoft.com/office/drawing/2014/chart" uri="{C3380CC4-5D6E-409C-BE32-E72D297353CC}">
              <c16:uniqueId val="{00000004-9A78-4E40-837F-81F5ED287455}"/>
            </c:ext>
          </c:extLst>
        </c:ser>
        <c:marker val="1"/>
        <c:axId val="148021248"/>
        <c:axId val="148022784"/>
      </c:lineChart>
      <c:dateAx>
        <c:axId val="148021248"/>
        <c:scaling>
          <c:orientation val="minMax"/>
        </c:scaling>
        <c:axPos val="b"/>
        <c:numFmt formatCode="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22784"/>
        <c:crosses val="autoZero"/>
        <c:auto val="1"/>
        <c:lblOffset val="100"/>
        <c:baseTimeUnit val="months"/>
      </c:dateAx>
      <c:valAx>
        <c:axId val="14802278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21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7.5354289113227002E-2"/>
          <c:y val="0.16658432517403998"/>
          <c:w val="0.89559129989892261"/>
          <c:h val="0.48121004860918321"/>
        </c:manualLayout>
      </c:layout>
      <c:lineChart>
        <c:grouping val="standard"/>
        <c:ser>
          <c:idx val="1"/>
          <c:order val="0"/>
          <c:tx>
            <c:strRef>
              <c:f>Sheet1!$C$70:$C$72</c:f>
              <c:strCache>
                <c:ptCount val="3"/>
                <c:pt idx="0">
                  <c:v>Hindustan Unilever</c:v>
                </c:pt>
                <c:pt idx="2">
                  <c:v>%</c:v>
                </c:pt>
              </c:strCache>
            </c:strRef>
          </c:tx>
          <c:spPr>
            <a:ln w="28575" cap="rnd">
              <a:solidFill>
                <a:schemeClr val="accent2"/>
              </a:solidFill>
              <a:round/>
            </a:ln>
            <a:effectLst/>
          </c:spPr>
          <c:marker>
            <c:symbol val="none"/>
          </c:marker>
          <c:cat>
            <c:numRef>
              <c:f>Sheet1!$A$73:$A$81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Sheet1!$C$73:$C$81</c:f>
              <c:numCache>
                <c:formatCode>General</c:formatCode>
                <c:ptCount val="9"/>
                <c:pt idx="0">
                  <c:v>100</c:v>
                </c:pt>
                <c:pt idx="1">
                  <c:v>105.26315789473684</c:v>
                </c:pt>
                <c:pt idx="2">
                  <c:v>105.5835240274599</c:v>
                </c:pt>
                <c:pt idx="3">
                  <c:v>109.42791762013741</c:v>
                </c:pt>
                <c:pt idx="4">
                  <c:v>122.19679633867271</c:v>
                </c:pt>
                <c:pt idx="5">
                  <c:v>113.54691075514879</c:v>
                </c:pt>
                <c:pt idx="6">
                  <c:v>119.03890160183066</c:v>
                </c:pt>
                <c:pt idx="7">
                  <c:v>116.97940503432488</c:v>
                </c:pt>
                <c:pt idx="8">
                  <c:v>121.60183066361556</c:v>
                </c:pt>
              </c:numCache>
            </c:numRef>
          </c:val>
          <c:extLst xmlns:c16r2="http://schemas.microsoft.com/office/drawing/2015/06/chart">
            <c:ext xmlns:c16="http://schemas.microsoft.com/office/drawing/2014/chart" uri="{C3380CC4-5D6E-409C-BE32-E72D297353CC}">
              <c16:uniqueId val="{00000000-0597-46F9-9C3F-C290FCAA4DB6}"/>
            </c:ext>
          </c:extLst>
        </c:ser>
        <c:ser>
          <c:idx val="3"/>
          <c:order val="1"/>
          <c:tx>
            <c:strRef>
              <c:f>Sheet1!$E$70:$E$72</c:f>
              <c:strCache>
                <c:ptCount val="3"/>
                <c:pt idx="0">
                  <c:v>ITC</c:v>
                </c:pt>
                <c:pt idx="2">
                  <c:v>%</c:v>
                </c:pt>
              </c:strCache>
            </c:strRef>
          </c:tx>
          <c:spPr>
            <a:ln w="28575" cap="rnd">
              <a:solidFill>
                <a:schemeClr val="accent4"/>
              </a:solidFill>
              <a:round/>
            </a:ln>
            <a:effectLst/>
          </c:spPr>
          <c:marker>
            <c:symbol val="none"/>
          </c:marker>
          <c:cat>
            <c:numRef>
              <c:f>Sheet1!$A$73:$A$81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Sheet1!$E$73:$E$81</c:f>
              <c:numCache>
                <c:formatCode>General</c:formatCode>
                <c:ptCount val="9"/>
                <c:pt idx="0">
                  <c:v>100</c:v>
                </c:pt>
                <c:pt idx="1">
                  <c:v>109.58576739245872</c:v>
                </c:pt>
                <c:pt idx="2">
                  <c:v>113.27668613913963</c:v>
                </c:pt>
                <c:pt idx="3">
                  <c:v>118.74668082846523</c:v>
                </c:pt>
                <c:pt idx="4">
                  <c:v>124.32288900690376</c:v>
                </c:pt>
                <c:pt idx="5">
                  <c:v>134.89113117365923</c:v>
                </c:pt>
                <c:pt idx="6">
                  <c:v>139.2193308550186</c:v>
                </c:pt>
                <c:pt idx="7">
                  <c:v>137.81200212426978</c:v>
                </c:pt>
                <c:pt idx="8">
                  <c:v>129.18215613382898</c:v>
                </c:pt>
              </c:numCache>
            </c:numRef>
          </c:val>
          <c:extLst xmlns:c16r2="http://schemas.microsoft.com/office/drawing/2015/06/chart">
            <c:ext xmlns:c16="http://schemas.microsoft.com/office/drawing/2014/chart" uri="{C3380CC4-5D6E-409C-BE32-E72D297353CC}">
              <c16:uniqueId val="{00000001-0597-46F9-9C3F-C290FCAA4DB6}"/>
            </c:ext>
          </c:extLst>
        </c:ser>
        <c:ser>
          <c:idx val="5"/>
          <c:order val="2"/>
          <c:tx>
            <c:strRef>
              <c:f>Sheet1!$G$70:$G$72</c:f>
              <c:strCache>
                <c:ptCount val="3"/>
                <c:pt idx="0">
                  <c:v>Colgate-Palmolive</c:v>
                </c:pt>
                <c:pt idx="2">
                  <c:v>%</c:v>
                </c:pt>
              </c:strCache>
            </c:strRef>
          </c:tx>
          <c:spPr>
            <a:ln w="28575" cap="rnd">
              <a:solidFill>
                <a:schemeClr val="accent6"/>
              </a:solidFill>
              <a:round/>
            </a:ln>
            <a:effectLst/>
          </c:spPr>
          <c:marker>
            <c:symbol val="none"/>
          </c:marker>
          <c:cat>
            <c:numRef>
              <c:f>Sheet1!$A$73:$A$81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Sheet1!$G$73:$G$81</c:f>
              <c:numCache>
                <c:formatCode>General</c:formatCode>
                <c:ptCount val="9"/>
                <c:pt idx="0">
                  <c:v>100</c:v>
                </c:pt>
                <c:pt idx="1">
                  <c:v>93.680297397769408</c:v>
                </c:pt>
                <c:pt idx="2">
                  <c:v>120.44609665427521</c:v>
                </c:pt>
                <c:pt idx="3">
                  <c:v>78.06691449814133</c:v>
                </c:pt>
                <c:pt idx="4">
                  <c:v>103.3457249070632</c:v>
                </c:pt>
                <c:pt idx="5">
                  <c:v>90.334572490706279</c:v>
                </c:pt>
                <c:pt idx="6">
                  <c:v>117.4721189591078</c:v>
                </c:pt>
                <c:pt idx="7">
                  <c:v>101.85873605947944</c:v>
                </c:pt>
                <c:pt idx="8">
                  <c:v>126.39405204460968</c:v>
                </c:pt>
              </c:numCache>
            </c:numRef>
          </c:val>
          <c:extLst xmlns:c16r2="http://schemas.microsoft.com/office/drawing/2015/06/chart">
            <c:ext xmlns:c16="http://schemas.microsoft.com/office/drawing/2014/chart" uri="{C3380CC4-5D6E-409C-BE32-E72D297353CC}">
              <c16:uniqueId val="{00000002-0597-46F9-9C3F-C290FCAA4DB6}"/>
            </c:ext>
          </c:extLst>
        </c:ser>
        <c:ser>
          <c:idx val="7"/>
          <c:order val="3"/>
          <c:tx>
            <c:strRef>
              <c:f>Sheet1!$I$70:$I$72</c:f>
              <c:strCache>
                <c:ptCount val="3"/>
                <c:pt idx="0">
                  <c:v>Britannia</c:v>
                </c:pt>
                <c:pt idx="2">
                  <c:v>%</c:v>
                </c:pt>
              </c:strCache>
            </c:strRef>
          </c:tx>
          <c:spPr>
            <a:ln w="28575" cap="rnd">
              <a:solidFill>
                <a:schemeClr val="accent2">
                  <a:lumMod val="60000"/>
                </a:schemeClr>
              </a:solidFill>
              <a:round/>
            </a:ln>
            <a:effectLst/>
          </c:spPr>
          <c:marker>
            <c:symbol val="none"/>
          </c:marker>
          <c:cat>
            <c:numRef>
              <c:f>Sheet1!$A$73:$A$81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Sheet1!$I$73:$I$81</c:f>
              <c:numCache>
                <c:formatCode>General</c:formatCode>
                <c:ptCount val="9"/>
                <c:pt idx="0">
                  <c:v>100</c:v>
                </c:pt>
                <c:pt idx="1">
                  <c:v>96.596858638743456</c:v>
                </c:pt>
                <c:pt idx="2">
                  <c:v>98.952879581151819</c:v>
                </c:pt>
                <c:pt idx="3">
                  <c:v>87.958115183246093</c:v>
                </c:pt>
                <c:pt idx="4">
                  <c:v>128.53403141361261</c:v>
                </c:pt>
                <c:pt idx="5">
                  <c:v>243.97905759162302</c:v>
                </c:pt>
                <c:pt idx="6">
                  <c:v>146.07329842931938</c:v>
                </c:pt>
                <c:pt idx="7">
                  <c:v>119.10994764397907</c:v>
                </c:pt>
                <c:pt idx="8">
                  <c:v>153.40314136125656</c:v>
                </c:pt>
              </c:numCache>
            </c:numRef>
          </c:val>
          <c:extLst xmlns:c16r2="http://schemas.microsoft.com/office/drawing/2015/06/chart">
            <c:ext xmlns:c16="http://schemas.microsoft.com/office/drawing/2014/chart" uri="{C3380CC4-5D6E-409C-BE32-E72D297353CC}">
              <c16:uniqueId val="{00000003-0597-46F9-9C3F-C290FCAA4DB6}"/>
            </c:ext>
          </c:extLst>
        </c:ser>
        <c:ser>
          <c:idx val="9"/>
          <c:order val="4"/>
          <c:tx>
            <c:strRef>
              <c:f>Sheet1!$K$70:$K$72</c:f>
              <c:strCache>
                <c:ptCount val="3"/>
                <c:pt idx="0">
                  <c:v>Dabur</c:v>
                </c:pt>
                <c:pt idx="2">
                  <c:v>%</c:v>
                </c:pt>
              </c:strCache>
            </c:strRef>
          </c:tx>
          <c:spPr>
            <a:ln w="28575" cap="rnd">
              <a:solidFill>
                <a:schemeClr val="accent4">
                  <a:lumMod val="60000"/>
                </a:schemeClr>
              </a:solidFill>
              <a:round/>
            </a:ln>
            <a:effectLst/>
          </c:spPr>
          <c:marker>
            <c:symbol val="none"/>
          </c:marker>
          <c:cat>
            <c:numRef>
              <c:f>Sheet1!$A$73:$A$81</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Sheet1!$K$73:$K$81</c:f>
              <c:numCache>
                <c:formatCode>General</c:formatCode>
                <c:ptCount val="9"/>
                <c:pt idx="0">
                  <c:v>100</c:v>
                </c:pt>
                <c:pt idx="1">
                  <c:v>99.801980198019749</c:v>
                </c:pt>
                <c:pt idx="2">
                  <c:v>58.217821782178206</c:v>
                </c:pt>
                <c:pt idx="3">
                  <c:v>87.326732673267273</c:v>
                </c:pt>
                <c:pt idx="4">
                  <c:v>97.227722772277232</c:v>
                </c:pt>
                <c:pt idx="5">
                  <c:v>94.455445544554365</c:v>
                </c:pt>
                <c:pt idx="6">
                  <c:v>58.019801980198004</c:v>
                </c:pt>
                <c:pt idx="7">
                  <c:v>90.495049504950501</c:v>
                </c:pt>
                <c:pt idx="8">
                  <c:v>100.39603960396039</c:v>
                </c:pt>
              </c:numCache>
            </c:numRef>
          </c:val>
          <c:extLst xmlns:c16r2="http://schemas.microsoft.com/office/drawing/2015/06/chart">
            <c:ext xmlns:c16="http://schemas.microsoft.com/office/drawing/2014/chart" uri="{C3380CC4-5D6E-409C-BE32-E72D297353CC}">
              <c16:uniqueId val="{00000004-0597-46F9-9C3F-C290FCAA4DB6}"/>
            </c:ext>
          </c:extLst>
        </c:ser>
        <c:marker val="1"/>
        <c:axId val="148153472"/>
        <c:axId val="148155008"/>
      </c:lineChart>
      <c:dateAx>
        <c:axId val="148153472"/>
        <c:scaling>
          <c:orientation val="minMax"/>
        </c:scaling>
        <c:axPos val="b"/>
        <c:numFmt formatCode="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5008"/>
        <c:crosses val="autoZero"/>
        <c:auto val="1"/>
        <c:lblOffset val="100"/>
        <c:baseTimeUnit val="months"/>
      </c:dateAx>
      <c:valAx>
        <c:axId val="148155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3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Net Profit Ratio</a:t>
            </a:r>
          </a:p>
        </c:rich>
      </c:tx>
      <c:spPr>
        <a:noFill/>
        <a:ln>
          <a:noFill/>
        </a:ln>
        <a:effectLst/>
      </c:spPr>
    </c:title>
    <c:plotArea>
      <c:layout/>
      <c:barChart>
        <c:barDir val="col"/>
        <c:grouping val="stacked"/>
        <c:ser>
          <c:idx val="0"/>
          <c:order val="0"/>
          <c:tx>
            <c:strRef>
              <c:f>Sheet1!$B$1</c:f>
              <c:strCache>
                <c:ptCount val="1"/>
                <c:pt idx="0">
                  <c:v>Net profit ratio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19.89</c:v>
                </c:pt>
                <c:pt idx="1">
                  <c:v>19.68</c:v>
                </c:pt>
                <c:pt idx="2">
                  <c:v>24.9</c:v>
                </c:pt>
                <c:pt idx="3">
                  <c:v>17.54</c:v>
                </c:pt>
                <c:pt idx="4">
                  <c:v>20.04</c:v>
                </c:pt>
                <c:pt idx="5">
                  <c:v>18.82</c:v>
                </c:pt>
                <c:pt idx="6">
                  <c:v>23.39</c:v>
                </c:pt>
                <c:pt idx="7">
                  <c:v>20.69</c:v>
                </c:pt>
                <c:pt idx="8">
                  <c:v>23.110000000000014</c:v>
                </c:pt>
              </c:numCache>
            </c:numRef>
          </c:val>
          <c:extLst xmlns:c16r2="http://schemas.microsoft.com/office/drawing/2015/06/chart">
            <c:ext xmlns:c16="http://schemas.microsoft.com/office/drawing/2014/chart" uri="{C3380CC4-5D6E-409C-BE32-E72D297353CC}">
              <c16:uniqueId val="{00000000-0D0F-4A41-8411-39A588E11F05}"/>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0D0F-4A41-8411-39A588E11F05}"/>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0D0F-4A41-8411-39A588E11F05}"/>
            </c:ext>
          </c:extLst>
        </c:ser>
        <c:gapWidth val="0"/>
        <c:overlap val="100"/>
        <c:axId val="171960192"/>
        <c:axId val="172289408"/>
      </c:barChart>
      <c:dateAx>
        <c:axId val="171960192"/>
        <c:scaling>
          <c:orientation val="minMax"/>
        </c:scaling>
        <c:axPos val="b"/>
        <c:numFmt formatCode="mmm\-yy"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289408"/>
        <c:crosses val="autoZero"/>
        <c:auto val="1"/>
        <c:lblOffset val="100"/>
        <c:baseTimeUnit val="months"/>
      </c:dateAx>
      <c:valAx>
        <c:axId val="17228940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1960192"/>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Net</a:t>
            </a:r>
            <a:r>
              <a:rPr lang="en-IN" baseline="0"/>
              <a:t> Profit Ratio</a:t>
            </a:r>
            <a:endParaRPr lang="en-IN"/>
          </a:p>
        </c:rich>
      </c:tx>
      <c:spPr>
        <a:noFill/>
        <a:ln>
          <a:noFill/>
        </a:ln>
        <a:effectLst/>
      </c:spPr>
    </c:title>
    <c:plotArea>
      <c:layout/>
      <c:barChart>
        <c:barDir val="col"/>
        <c:grouping val="stacked"/>
        <c:ser>
          <c:idx val="0"/>
          <c:order val="0"/>
          <c:tx>
            <c:strRef>
              <c:f>Sheet1!$B$1</c:f>
              <c:strCache>
                <c:ptCount val="1"/>
                <c:pt idx="0">
                  <c:v>Net profit ratio</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12.52869793374877</c:v>
                </c:pt>
                <c:pt idx="1">
                  <c:v>12.154150197628459</c:v>
                </c:pt>
                <c:pt idx="2">
                  <c:v>12.595801399533487</c:v>
                </c:pt>
                <c:pt idx="3">
                  <c:v>10.5</c:v>
                </c:pt>
                <c:pt idx="4">
                  <c:v>13.386041439476553</c:v>
                </c:pt>
                <c:pt idx="5">
                  <c:v>27.582124889020406</c:v>
                </c:pt>
                <c:pt idx="6">
                  <c:v>17.318435754189942</c:v>
                </c:pt>
                <c:pt idx="7">
                  <c:v>13.696568332329926</c:v>
                </c:pt>
                <c:pt idx="8">
                  <c:v>16.451431779898932</c:v>
                </c:pt>
              </c:numCache>
            </c:numRef>
          </c:val>
          <c:extLst xmlns:c16r2="http://schemas.microsoft.com/office/drawing/2015/06/chart">
            <c:ext xmlns:c16="http://schemas.microsoft.com/office/drawing/2014/chart" uri="{C3380CC4-5D6E-409C-BE32-E72D297353CC}">
              <c16:uniqueId val="{00000000-3220-4D9D-944F-932F75C7617E}"/>
            </c:ext>
          </c:extLst>
        </c:ser>
        <c:ser>
          <c:idx val="1"/>
          <c:order val="1"/>
          <c:tx>
            <c:strRef>
              <c:f>Sheet1!$C$1</c:f>
              <c:strCache>
                <c:ptCount val="1"/>
                <c:pt idx="0">
                  <c:v>Column3</c:v>
                </c:pt>
              </c:strCache>
            </c:strRef>
          </c:tx>
          <c:spPr>
            <a:solidFill>
              <a:schemeClr val="accent2"/>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3220-4D9D-944F-932F75C7617E}"/>
            </c:ext>
          </c:extLst>
        </c:ser>
        <c:ser>
          <c:idx val="2"/>
          <c:order val="2"/>
          <c:tx>
            <c:strRef>
              <c:f>Sheet1!$D$1</c:f>
              <c:strCache>
                <c:ptCount val="1"/>
                <c:pt idx="0">
                  <c:v>Column2</c:v>
                </c:pt>
              </c:strCache>
            </c:strRef>
          </c:tx>
          <c:spPr>
            <a:solidFill>
              <a:schemeClr val="accent3"/>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3220-4D9D-944F-932F75C7617E}"/>
            </c:ext>
          </c:extLst>
        </c:ser>
        <c:gapWidth val="0"/>
        <c:overlap val="100"/>
        <c:axId val="172555648"/>
        <c:axId val="199223936"/>
      </c:barChart>
      <c:dateAx>
        <c:axId val="172555648"/>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23936"/>
        <c:crosses val="autoZero"/>
        <c:auto val="1"/>
        <c:lblOffset val="100"/>
        <c:baseTimeUnit val="months"/>
      </c:dateAx>
      <c:valAx>
        <c:axId val="199223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55648"/>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Net</a:t>
            </a:r>
            <a:r>
              <a:rPr lang="en-IN" baseline="0"/>
              <a:t> Profit Ratio</a:t>
            </a:r>
            <a:endParaRPr lang="en-IN"/>
          </a:p>
        </c:rich>
      </c:tx>
      <c:spPr>
        <a:noFill/>
        <a:ln>
          <a:noFill/>
        </a:ln>
        <a:effectLst/>
      </c:spPr>
    </c:title>
    <c:plotArea>
      <c:layout/>
      <c:barChart>
        <c:barDir val="col"/>
        <c:grouping val="stacked"/>
        <c:ser>
          <c:idx val="0"/>
          <c:order val="0"/>
          <c:tx>
            <c:strRef>
              <c:f>Sheet1!$B$1</c:f>
              <c:strCache>
                <c:ptCount val="1"/>
                <c:pt idx="0">
                  <c:v>Net profit ratio</c:v>
                </c:pt>
              </c:strCache>
            </c:strRef>
          </c:tx>
          <c:spPr>
            <a:solidFill>
              <a:schemeClr val="accent1"/>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17.920000000000002</c:v>
                </c:pt>
                <c:pt idx="1">
                  <c:v>17.130000000000013</c:v>
                </c:pt>
                <c:pt idx="2">
                  <c:v>11.67</c:v>
                </c:pt>
                <c:pt idx="3">
                  <c:v>15.63</c:v>
                </c:pt>
                <c:pt idx="4">
                  <c:v>16.439999999999987</c:v>
                </c:pt>
                <c:pt idx="5">
                  <c:v>15.68</c:v>
                </c:pt>
                <c:pt idx="6">
                  <c:v>10.94</c:v>
                </c:pt>
                <c:pt idx="7">
                  <c:v>14.6</c:v>
                </c:pt>
                <c:pt idx="8">
                  <c:v>15.82</c:v>
                </c:pt>
              </c:numCache>
            </c:numRef>
          </c:val>
          <c:extLst xmlns:c16r2="http://schemas.microsoft.com/office/drawing/2015/06/chart">
            <c:ext xmlns:c16="http://schemas.microsoft.com/office/drawing/2014/chart" uri="{C3380CC4-5D6E-409C-BE32-E72D297353CC}">
              <c16:uniqueId val="{00000000-0C01-46DF-88F6-C6A5AF5759F4}"/>
            </c:ext>
          </c:extLst>
        </c:ser>
        <c:ser>
          <c:idx val="1"/>
          <c:order val="1"/>
          <c:tx>
            <c:strRef>
              <c:f>Sheet1!$C$1</c:f>
              <c:strCache>
                <c:ptCount val="1"/>
                <c:pt idx="0">
                  <c:v>Series 2</c:v>
                </c:pt>
              </c:strCache>
            </c:strRef>
          </c:tx>
          <c:spPr>
            <a:solidFill>
              <a:schemeClr val="accent2"/>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0C01-46DF-88F6-C6A5AF5759F4}"/>
            </c:ext>
          </c:extLst>
        </c:ser>
        <c:ser>
          <c:idx val="2"/>
          <c:order val="2"/>
          <c:tx>
            <c:strRef>
              <c:f>Sheet1!$D$1</c:f>
              <c:strCache>
                <c:ptCount val="1"/>
                <c:pt idx="0">
                  <c:v>Column1</c:v>
                </c:pt>
              </c:strCache>
            </c:strRef>
          </c:tx>
          <c:spPr>
            <a:solidFill>
              <a:schemeClr val="accent3"/>
            </a:solidFill>
            <a:ln>
              <a:noFill/>
            </a:ln>
            <a:effectLst/>
          </c:spP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0C01-46DF-88F6-C6A5AF5759F4}"/>
            </c:ext>
          </c:extLst>
        </c:ser>
        <c:gapWidth val="0"/>
        <c:overlap val="100"/>
        <c:axId val="201946240"/>
        <c:axId val="201947776"/>
      </c:barChart>
      <c:dateAx>
        <c:axId val="201946240"/>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47776"/>
        <c:crosses val="autoZero"/>
        <c:auto val="1"/>
        <c:lblOffset val="100"/>
        <c:baseTimeUnit val="months"/>
      </c:dateAx>
      <c:valAx>
        <c:axId val="201947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46240"/>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Operating Profit Ratio</a:t>
            </a:r>
            <a:r>
              <a:rPr lang="en-IN" baseline="0"/>
              <a:t> </a:t>
            </a:r>
            <a:endParaRPr lang="en-IN"/>
          </a:p>
        </c:rich>
      </c:tx>
      <c:spPr>
        <a:noFill/>
        <a:ln>
          <a:noFill/>
        </a:ln>
        <a:effectLst/>
      </c:spPr>
    </c:title>
    <c:plotArea>
      <c:layout/>
      <c:lineChart>
        <c:grouping val="standard"/>
        <c:ser>
          <c:idx val="0"/>
          <c:order val="0"/>
          <c:tx>
            <c:strRef>
              <c:f>Sheet1!$B$1</c:f>
              <c:strCache>
                <c:ptCount val="1"/>
                <c:pt idx="0">
                  <c:v>operating ratio</c:v>
                </c:pt>
              </c:strCache>
            </c:strRef>
          </c:tx>
          <c:spPr>
            <a:ln w="28575" cap="rnd">
              <a:solidFill>
                <a:schemeClr val="accent4">
                  <a:shade val="65000"/>
                </a:schemeClr>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24.72</c:v>
                </c:pt>
                <c:pt idx="1">
                  <c:v>25.37</c:v>
                </c:pt>
                <c:pt idx="2">
                  <c:v>23.979999999999986</c:v>
                </c:pt>
                <c:pt idx="3">
                  <c:v>23.259999999999987</c:v>
                </c:pt>
                <c:pt idx="4">
                  <c:v>22.97</c:v>
                </c:pt>
                <c:pt idx="5">
                  <c:v>23.68</c:v>
                </c:pt>
                <c:pt idx="6">
                  <c:v>23.479999999999986</c:v>
                </c:pt>
                <c:pt idx="7">
                  <c:v>23.64</c:v>
                </c:pt>
                <c:pt idx="8">
                  <c:v>24.29</c:v>
                </c:pt>
              </c:numCache>
            </c:numRef>
          </c:val>
          <c:extLst xmlns:c16r2="http://schemas.microsoft.com/office/drawing/2015/06/chart">
            <c:ext xmlns:c16="http://schemas.microsoft.com/office/drawing/2014/chart" uri="{C3380CC4-5D6E-409C-BE32-E72D297353CC}">
              <c16:uniqueId val="{00000000-27AA-4441-81AB-86BA8146AFCA}"/>
            </c:ext>
          </c:extLst>
        </c:ser>
        <c:ser>
          <c:idx val="1"/>
          <c:order val="1"/>
          <c:tx>
            <c:strRef>
              <c:f>Sheet1!$C$1</c:f>
              <c:strCache>
                <c:ptCount val="1"/>
                <c:pt idx="0">
                  <c:v>Series 2</c:v>
                </c:pt>
              </c:strCache>
            </c:strRef>
          </c:tx>
          <c:spPr>
            <a:ln w="28575" cap="rnd">
              <a:solidFill>
                <a:schemeClr val="accent4"/>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27AA-4441-81AB-86BA8146AFCA}"/>
            </c:ext>
          </c:extLst>
        </c:ser>
        <c:ser>
          <c:idx val="2"/>
          <c:order val="2"/>
          <c:tx>
            <c:strRef>
              <c:f>Sheet1!$D$1</c:f>
              <c:strCache>
                <c:ptCount val="1"/>
                <c:pt idx="0">
                  <c:v>Column1</c:v>
                </c:pt>
              </c:strCache>
            </c:strRef>
          </c:tx>
          <c:spPr>
            <a:ln w="28575" cap="rnd">
              <a:solidFill>
                <a:schemeClr val="accent4">
                  <a:tint val="65000"/>
                </a:schemeClr>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27AA-4441-81AB-86BA8146AFCA}"/>
            </c:ext>
          </c:extLst>
        </c:ser>
        <c:marker val="1"/>
        <c:axId val="202288512"/>
        <c:axId val="202315264"/>
      </c:lineChart>
      <c:dateAx>
        <c:axId val="202288512"/>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15264"/>
        <c:crosses val="autoZero"/>
        <c:auto val="1"/>
        <c:lblOffset val="100"/>
        <c:baseTimeUnit val="months"/>
      </c:dateAx>
      <c:valAx>
        <c:axId val="202315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88512"/>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Operating</a:t>
            </a:r>
            <a:r>
              <a:rPr lang="en-IN" baseline="0"/>
              <a:t> Profit Ratio</a:t>
            </a:r>
            <a:endParaRPr lang="en-IN"/>
          </a:p>
        </c:rich>
      </c:tx>
      <c:spPr>
        <a:noFill/>
        <a:ln>
          <a:noFill/>
        </a:ln>
        <a:effectLst/>
      </c:spPr>
    </c:title>
    <c:plotArea>
      <c:layout/>
      <c:lineChart>
        <c:grouping val="standard"/>
        <c:ser>
          <c:idx val="0"/>
          <c:order val="0"/>
          <c:tx>
            <c:strRef>
              <c:f>Sheet1!$B$1</c:f>
              <c:strCache>
                <c:ptCount val="1"/>
                <c:pt idx="0">
                  <c:v>operating ratio</c:v>
                </c:pt>
              </c:strCache>
            </c:strRef>
          </c:tx>
          <c:spPr>
            <a:ln w="28575" cap="rnd">
              <a:solidFill>
                <a:schemeClr val="accent2">
                  <a:shade val="65000"/>
                </a:schemeClr>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36.480000000000004</c:v>
                </c:pt>
                <c:pt idx="1">
                  <c:v>32.720000000000013</c:v>
                </c:pt>
                <c:pt idx="2">
                  <c:v>33.82</c:v>
                </c:pt>
                <c:pt idx="3">
                  <c:v>32.870000000000005</c:v>
                </c:pt>
                <c:pt idx="4">
                  <c:v>36.590000000000003</c:v>
                </c:pt>
                <c:pt idx="5">
                  <c:v>37.870000000000005</c:v>
                </c:pt>
                <c:pt idx="6">
                  <c:v>37.56</c:v>
                </c:pt>
                <c:pt idx="7">
                  <c:v>38.86</c:v>
                </c:pt>
                <c:pt idx="8">
                  <c:v>36.31</c:v>
                </c:pt>
              </c:numCache>
            </c:numRef>
          </c:val>
          <c:extLst xmlns:c16r2="http://schemas.microsoft.com/office/drawing/2015/06/chart">
            <c:ext xmlns:c16="http://schemas.microsoft.com/office/drawing/2014/chart" uri="{C3380CC4-5D6E-409C-BE32-E72D297353CC}">
              <c16:uniqueId val="{00000000-9C1B-413D-BCD3-79B3C18E3531}"/>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9C1B-413D-BCD3-79B3C18E3531}"/>
            </c:ext>
          </c:extLst>
        </c:ser>
        <c:ser>
          <c:idx val="2"/>
          <c:order val="2"/>
          <c:tx>
            <c:strRef>
              <c:f>Sheet1!$D$1</c:f>
              <c:strCache>
                <c:ptCount val="1"/>
                <c:pt idx="0">
                  <c:v>Column2</c:v>
                </c:pt>
              </c:strCache>
            </c:strRef>
          </c:tx>
          <c:spPr>
            <a:ln w="28575" cap="rnd">
              <a:solidFill>
                <a:schemeClr val="accent2">
                  <a:tint val="65000"/>
                </a:schemeClr>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9C1B-413D-BCD3-79B3C18E3531}"/>
            </c:ext>
          </c:extLst>
        </c:ser>
        <c:marker val="1"/>
        <c:axId val="214325120"/>
        <c:axId val="214326656"/>
      </c:lineChart>
      <c:dateAx>
        <c:axId val="214325120"/>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26656"/>
        <c:crosses val="autoZero"/>
        <c:auto val="1"/>
        <c:lblOffset val="100"/>
        <c:baseTimeUnit val="months"/>
      </c:dateAx>
      <c:valAx>
        <c:axId val="214326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25120"/>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operating  profit ratio</a:t>
            </a:r>
          </a:p>
        </c:rich>
      </c:tx>
      <c:spPr>
        <a:noFill/>
        <a:ln>
          <a:noFill/>
        </a:ln>
        <a:effectLst/>
      </c:spPr>
    </c:title>
    <c:plotArea>
      <c:layout/>
      <c:lineChart>
        <c:grouping val="standard"/>
        <c:ser>
          <c:idx val="0"/>
          <c:order val="0"/>
          <c:tx>
            <c:strRef>
              <c:f>Sheet1!$B$1</c:f>
              <c:strCache>
                <c:ptCount val="1"/>
                <c:pt idx="0">
                  <c:v>operating ratio</c:v>
                </c:pt>
              </c:strCache>
            </c:strRef>
          </c:tx>
          <c:spPr>
            <a:ln w="28575" cap="rnd">
              <a:solidFill>
                <a:schemeClr val="accent1"/>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29.66</c:v>
                </c:pt>
                <c:pt idx="1">
                  <c:v>29.77</c:v>
                </c:pt>
                <c:pt idx="2">
                  <c:v>32.97</c:v>
                </c:pt>
                <c:pt idx="3">
                  <c:v>27.23</c:v>
                </c:pt>
                <c:pt idx="4">
                  <c:v>29.419999999999987</c:v>
                </c:pt>
                <c:pt idx="5">
                  <c:v>27.959999999999987</c:v>
                </c:pt>
                <c:pt idx="6">
                  <c:v>33.46</c:v>
                </c:pt>
                <c:pt idx="7">
                  <c:v>31.57</c:v>
                </c:pt>
                <c:pt idx="8">
                  <c:v>32.770000000000003</c:v>
                </c:pt>
              </c:numCache>
            </c:numRef>
          </c:val>
          <c:extLst xmlns:c16r2="http://schemas.microsoft.com/office/drawing/2015/06/chart">
            <c:ext xmlns:c16="http://schemas.microsoft.com/office/drawing/2014/chart" uri="{C3380CC4-5D6E-409C-BE32-E72D297353CC}">
              <c16:uniqueId val="{00000000-6B75-4334-A4FD-EBEF12E8BE1D}"/>
            </c:ext>
          </c:extLst>
        </c:ser>
        <c:marker val="1"/>
        <c:axId val="72450816"/>
        <c:axId val="72452352"/>
      </c:lineChart>
      <c:dateAx>
        <c:axId val="72450816"/>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52352"/>
        <c:crosses val="autoZero"/>
        <c:auto val="1"/>
        <c:lblOffset val="100"/>
        <c:baseTimeUnit val="months"/>
      </c:dateAx>
      <c:valAx>
        <c:axId val="72452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50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operating profit ratio</a:t>
            </a:r>
          </a:p>
        </c:rich>
      </c:tx>
      <c:spPr>
        <a:noFill/>
        <a:ln>
          <a:noFill/>
        </a:ln>
        <a:effectLst/>
      </c:spPr>
    </c:title>
    <c:plotArea>
      <c:layout/>
      <c:lineChart>
        <c:grouping val="standard"/>
        <c:ser>
          <c:idx val="0"/>
          <c:order val="0"/>
          <c:tx>
            <c:strRef>
              <c:f>Sheet1!$B$1</c:f>
              <c:strCache>
                <c:ptCount val="1"/>
                <c:pt idx="0">
                  <c:v>operating ratio</c:v>
                </c:pt>
              </c:strCache>
            </c:strRef>
          </c:tx>
          <c:spPr>
            <a:ln w="28575" cap="rnd">
              <a:solidFill>
                <a:schemeClr val="accent1"/>
              </a:solidFill>
              <a:round/>
            </a:ln>
            <a:effectLst/>
          </c:spPr>
          <c:marker>
            <c:symbol val="none"/>
          </c:marker>
          <c:cat>
            <c:numRef>
              <c:f>Sheet1!$A$2:$A$10</c:f>
              <c:numCache>
                <c:formatCode>mmm\-yy</c:formatCode>
                <c:ptCount val="9"/>
                <c:pt idx="0">
                  <c:v>44440</c:v>
                </c:pt>
                <c:pt idx="1">
                  <c:v>44531</c:v>
                </c:pt>
                <c:pt idx="2">
                  <c:v>44621</c:v>
                </c:pt>
                <c:pt idx="3">
                  <c:v>44713</c:v>
                </c:pt>
                <c:pt idx="4">
                  <c:v>44805</c:v>
                </c:pt>
                <c:pt idx="5">
                  <c:v>44896</c:v>
                </c:pt>
                <c:pt idx="6">
                  <c:v>44986</c:v>
                </c:pt>
                <c:pt idx="7">
                  <c:v>45078</c:v>
                </c:pt>
                <c:pt idx="8">
                  <c:v>45170</c:v>
                </c:pt>
              </c:numCache>
            </c:numRef>
          </c:cat>
          <c:val>
            <c:numRef>
              <c:f>Sheet1!$B$2:$B$10</c:f>
              <c:numCache>
                <c:formatCode>General</c:formatCode>
                <c:ptCount val="9"/>
                <c:pt idx="0">
                  <c:v>17.68</c:v>
                </c:pt>
                <c:pt idx="1">
                  <c:v>18.12</c:v>
                </c:pt>
                <c:pt idx="2">
                  <c:v>16.690000000000001</c:v>
                </c:pt>
                <c:pt idx="3">
                  <c:v>22.25</c:v>
                </c:pt>
                <c:pt idx="4">
                  <c:v>22.3</c:v>
                </c:pt>
                <c:pt idx="5">
                  <c:v>23.71</c:v>
                </c:pt>
                <c:pt idx="6">
                  <c:v>21.38</c:v>
                </c:pt>
                <c:pt idx="7">
                  <c:v>26.22</c:v>
                </c:pt>
                <c:pt idx="8">
                  <c:v>23.02</c:v>
                </c:pt>
              </c:numCache>
            </c:numRef>
          </c:val>
          <c:extLst xmlns:c16r2="http://schemas.microsoft.com/office/drawing/2015/06/chart">
            <c:ext xmlns:c16="http://schemas.microsoft.com/office/drawing/2014/chart" uri="{C3380CC4-5D6E-409C-BE32-E72D297353CC}">
              <c16:uniqueId val="{00000000-5FE5-40FD-ACE5-78898A1F4023}"/>
            </c:ext>
          </c:extLst>
        </c:ser>
        <c:marker val="1"/>
        <c:axId val="76843648"/>
        <c:axId val="77205888"/>
      </c:lineChart>
      <c:dateAx>
        <c:axId val="76843648"/>
        <c:scaling>
          <c:orientation val="minMax"/>
        </c:scaling>
        <c:axPos val="b"/>
        <c:numFmt formatCode="mmm\-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05888"/>
        <c:crosses val="autoZero"/>
        <c:auto val="1"/>
        <c:lblOffset val="100"/>
        <c:baseTimeUnit val="months"/>
      </c:dateAx>
      <c:valAx>
        <c:axId val="77205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3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4E862-4D39-41F7-8FA2-C2E33A83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79</Pages>
  <Words>13686</Words>
  <Characters>78015</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dc:creator>
  <cp:keywords/>
  <dc:description/>
  <cp:lastModifiedBy>admin</cp:lastModifiedBy>
  <cp:revision>19</cp:revision>
  <dcterms:created xsi:type="dcterms:W3CDTF">2024-03-10T11:51:00Z</dcterms:created>
  <dcterms:modified xsi:type="dcterms:W3CDTF">2024-06-19T05:17:00Z</dcterms:modified>
</cp:coreProperties>
</file>